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textAlignment w:val="baseline"/>
        <w:rPr>
          <w:rFonts w:ascii="Times New Roman" w:hAnsi="Times New Roman" w:cs="Times New Roman"/>
          <w:b/>
          <w:sz w:val="28"/>
          <w:szCs w:val="28"/>
        </w:rPr>
      </w:pPr>
      <w:r>
        <w:rPr>
          <w:rFonts w:cs="Times New Roman" w:ascii="Times New Roman" w:hAnsi="Times New Roman"/>
          <w:b/>
          <w:sz w:val="28"/>
          <w:szCs w:val="28"/>
        </w:rPr>
        <w:t>MATEMATIKOS MOKYMO(SI) ILGALAIKIO PLANO 8 KLASEI PAVYZDYS</w:t>
      </w:r>
    </w:p>
    <w:p>
      <w:pPr>
        <w:pStyle w:val="Normal"/>
        <w:spacing w:before="0" w:after="120"/>
        <w:textAlignment w:val="baseline"/>
        <w:rPr>
          <w:rFonts w:ascii="Times New Roman" w:hAnsi="Times New Roman" w:cs="Times New Roman"/>
          <w:b/>
          <w:sz w:val="28"/>
          <w:szCs w:val="28"/>
        </w:rPr>
      </w:pPr>
      <w:r>
        <w:rPr>
          <w:rFonts w:eastAsia="Times New Roman" w:cs="Times New Roman" w:ascii="Times New Roman" w:hAnsi="Times New Roman"/>
          <w:b/>
          <w:bCs/>
          <w:color w:val="333333"/>
          <w:kern w:val="0"/>
          <w:sz w:val="27"/>
          <w:szCs w:val="27"/>
          <w14:ligatures w14:val="none"/>
        </w:rPr>
        <w:t>Tikslas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Matematikos dalyko tikslas – sudaryti galimybę kiekvienam mokiniui, mokantis matematikos, ugdytis matematinį ir statistinį raštingumą, kuris suprantamas kaip įgytas gebėjimas matematiškai samprotauti ir taikyti įgytas kompetencijas, sprendžiant įvairias realias, aktualias ir mokiniams suprantamas problemas.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b/>
          <w:bCs/>
          <w:color w:val="333333"/>
          <w:kern w:val="0"/>
          <w:sz w:val="27"/>
          <w:szCs w:val="27"/>
          <w14:ligatures w14:val="none"/>
        </w:rPr>
        <w:t>Uždaviniai</w:t>
      </w:r>
    </w:p>
    <w:p>
      <w:pPr>
        <w:pStyle w:val="Normal"/>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Siekdami tikslo mokiniai:</w:t>
      </w:r>
    </w:p>
    <w:p>
      <w:pPr>
        <w:pStyle w:val="Normal"/>
        <w:numPr>
          <w:ilvl w:val="0"/>
          <w:numId w:val="1"/>
        </w:numPr>
        <w:shd w:val="clear" w:color="auto" w:fill="FFFFFF"/>
        <w:spacing w:lineRule="auto" w:line="240" w:before="0" w:after="0"/>
        <w:ind w:hanging="357" w:start="714"/>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tinkamai ir tikslingai vartoja matematinius faktus; sklandžiai atlieka matematines procedūras; įgytas žinias sieja tarpusavyje, sistemina, struktūruoja; įžvelgia matematikos ryšius su kitais dalykais;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įvairiuose kontekstuose taiko indukcinį ir dedukcinį, kiekybinį ir statistinį samprotavimą; remiasi žiniomis, logika ir patikimais argumentais, formuluodami, analizuodami, įrodinėdami teiginius, spręsdami uždavinius, darydami išvadas ar vertinimus;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bendradarbiaudami su kitais, nagrinėja įvairiomis formomis pateiktus matematinius pranešimus, dalyvauja diskusijose apie komunikavimo tikslą, adresatą, pranešimu perteikiamų minčių tikslumą, logiškumą, pagrįstumą, išsamumą, glaustumą;</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 xml:space="preserve">yra nusiteikę ir </w:t>
      </w:r>
      <w:r>
        <w:rPr>
          <w:rFonts w:eastAsia="Times New Roman" w:cs="Times New Roman" w:ascii="Times New Roman" w:hAnsi="Times New Roman"/>
          <w:kern w:val="0"/>
          <w:sz w:val="21"/>
          <w:szCs w:val="21"/>
          <w14:ligatures w14:val="none"/>
        </w:rPr>
        <w:t>stengiasi įveikti matematikos mokymosi kliūtis</w:t>
      </w:r>
      <w:r>
        <w:rPr>
          <w:rFonts w:eastAsia="Times New Roman" w:cs="Times New Roman" w:ascii="Times New Roman" w:hAnsi="Times New Roman"/>
          <w:color w:val="333333"/>
          <w:kern w:val="0"/>
          <w:sz w:val="21"/>
          <w:szCs w:val="21"/>
          <w14:ligatures w14:val="none"/>
        </w:rPr>
        <w:t>; tikslingai planuoja ir organizuoja mokymosi veiklą; siekdami mokytis matematikos ir ją pažinti, turi žinių, gebėjimų ir polinkį naudotis skaitmeninėmis technologijomis;</w:t>
      </w:r>
    </w:p>
    <w:p>
      <w:pPr>
        <w:pStyle w:val="Normal"/>
        <w:numPr>
          <w:ilvl w:val="0"/>
          <w:numId w:val="1"/>
        </w:numPr>
        <w:shd w:val="clear" w:color="auto" w:fill="FFFFFF"/>
        <w:spacing w:lineRule="auto" w:line="240" w:before="0" w:afterAutospacing="1"/>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įgytas matematines kompetencijas ir supratimą apie bendrą problemų sprendimo procesą kūrybiškai pritaiko įvairiuose realiuose, aktualiuose ir mokiniams suprantamuose kontekstuose; reflektuoja savo žinias, gebėjimus, samprotavimo veiklą ir jos rezultatus.</w:t>
      </w:r>
    </w:p>
    <w:p>
      <w:pPr>
        <w:pStyle w:val="Normal"/>
        <w:shd w:val="clear" w:color="auto" w:fill="FFFFFF"/>
        <w:spacing w:lineRule="auto" w:line="240" w:beforeAutospacing="1" w:afterAutospacing="1"/>
        <w:jc w:val="both"/>
        <w:rPr>
          <w:rFonts w:ascii="Times New Roman" w:hAnsi="Times New Roman" w:eastAsia="Times New Roman" w:cs="Times New Roman"/>
          <w:color w:val="333333"/>
          <w:kern w:val="0"/>
          <w:sz w:val="21"/>
          <w:szCs w:val="21"/>
          <w14:ligatures w14:val="none"/>
        </w:rPr>
      </w:pPr>
      <w:r>
        <w:rPr>
          <w:rFonts w:cs="Times New Roman" w:ascii="Times New Roman" w:hAnsi="Times New Roman"/>
          <w:color w:val="333333"/>
          <w:sz w:val="33"/>
          <w:szCs w:val="33"/>
        </w:rPr>
        <w:t>Kompetencijų ugdymas</w:t>
      </w:r>
    </w:p>
    <w:p>
      <w:pPr>
        <w:pStyle w:val="Normal"/>
        <w:shd w:val="clear" w:color="auto" w:fill="FFFFFF"/>
        <w:jc w:val="both"/>
        <w:rPr>
          <w:rFonts w:ascii="Times New Roman" w:hAnsi="Times New Roman" w:cs="Times New Roman"/>
          <w:color w:val="333333"/>
          <w:sz w:val="21"/>
          <w:szCs w:val="21"/>
        </w:rPr>
      </w:pPr>
      <w:r>
        <w:rPr>
          <w:rFonts w:cs="Times New Roman" w:ascii="Times New Roman" w:hAnsi="Times New Roman"/>
          <w:color w:val="333333"/>
          <w:sz w:val="21"/>
          <w:szCs w:val="21"/>
        </w:rPr>
        <w:t>Įgyvendinant Programą ugdomos šios kompetencijos: pažinimo, kūrybiškumo, komunikavimo, skaitmeninė, pilietiškumo, socialinė, emocinė ir sveikos gyvensenos, kultūrinė. Jos pateiktos pagal kompetencijos ugdymo intensyvumą.</w:t>
      </w:r>
    </w:p>
    <w:p>
      <w:pPr>
        <w:pStyle w:val="Normal"/>
        <w:spacing w:beforeAutospacing="1" w:after="120"/>
        <w:jc w:val="both"/>
        <w:rPr>
          <w:rFonts w:ascii="Times New Roman" w:hAnsi="Times New Roman" w:cs="Times New Roman"/>
        </w:rPr>
      </w:pPr>
      <w:r>
        <w:rPr>
          <w:rFonts w:cs="Times New Roman" w:ascii="Times New Roman" w:hAnsi="Times New Roman"/>
        </w:rPr>
        <w:t>UGDOMOS KOMPETENCIJOS:</w:t>
      </w:r>
    </w:p>
    <w:p>
      <w:pPr>
        <w:pStyle w:val="Normal"/>
        <w:spacing w:before="0" w:after="0"/>
        <w:jc w:val="both"/>
        <w:rPr>
          <w:rFonts w:ascii="Times New Roman" w:hAnsi="Times New Roman" w:cs="Times New Roman"/>
        </w:rPr>
      </w:pPr>
      <w:r>
        <w:rPr>
          <w:rFonts w:cs="Times New Roman" w:ascii="Times New Roman" w:hAnsi="Times New Roman"/>
          <w:b/>
        </w:rPr>
        <w:t xml:space="preserve">Pažinimo kompetencija (K1) </w:t>
      </w:r>
      <w:r>
        <w:rPr>
          <w:rFonts w:cs="Times New Roman" w:ascii="Times New Roman" w:hAnsi="Times New Roman"/>
        </w:rPr>
        <w:t>(dalyko žinios ir gebėjimai; kritinis mąstymas; problemų sprendimas; mokėjimas mokytis)</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Siekiama, kad mokiniai įgytų gilų, konceptualų supratimą apie matematikos prigimtį ir jos vaidmenį šiuolaikiniame pasaulyje, taip pat pajustų jos universalumą. Gilus supratimas pasiekiamas, kai mokiniams sudaromos galimybės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r>
    </w:p>
    <w:p>
      <w:pPr>
        <w:pStyle w:val="Normal"/>
        <w:jc w:val="both"/>
        <w:rPr>
          <w:rFonts w:ascii="Times New Roman" w:hAnsi="Times New Roman" w:cs="Times New Roman"/>
          <w:i/>
          <w:iCs/>
        </w:rPr>
      </w:pPr>
      <w:r>
        <w:rPr>
          <w:rFonts w:cs="Times New Roman" w:ascii="Times New Roman" w:hAnsi="Times New Roman"/>
          <w:i/>
          <w:iCs/>
        </w:rPr>
      </w:r>
    </w:p>
    <w:p>
      <w:pPr>
        <w:pStyle w:val="Normal"/>
        <w:jc w:val="both"/>
        <w:rPr>
          <w:rFonts w:ascii="Times New Roman" w:hAnsi="Times New Roman" w:cs="Times New Roman"/>
          <w:i/>
          <w:iCs/>
        </w:rPr>
      </w:pPr>
      <w:r>
        <w:rPr>
          <w:rFonts w:cs="Times New Roman" w:ascii="Times New Roman" w:hAnsi="Times New Roman"/>
          <w:i/>
          <w:iCs/>
        </w:rPr>
      </w:r>
    </w:p>
    <w:p>
      <w:pPr>
        <w:pStyle w:val="Normal"/>
        <w:jc w:val="both"/>
        <w:rPr>
          <w:rFonts w:ascii="Times New Roman" w:hAnsi="Times New Roman" w:cs="Times New Roman"/>
          <w:i/>
          <w:iCs/>
        </w:rPr>
      </w:pPr>
      <w:r>
        <w:rPr>
          <w:rFonts w:cs="Times New Roman" w:ascii="Times New Roman" w:hAnsi="Times New Roman"/>
          <w:i/>
          <w:iCs/>
        </w:rPr>
      </w:r>
    </w:p>
    <w:p>
      <w:pPr>
        <w:pStyle w:val="Normal"/>
        <w:spacing w:before="0" w:after="0"/>
        <w:jc w:val="both"/>
        <w:rPr>
          <w:rFonts w:ascii="Times New Roman" w:hAnsi="Times New Roman" w:cs="Times New Roman"/>
        </w:rPr>
      </w:pPr>
      <w:r>
        <w:rPr>
          <w:rFonts w:cs="Times New Roman" w:ascii="Times New Roman" w:hAnsi="Times New Roman"/>
          <w:b/>
        </w:rPr>
        <w:t>Komunikavimo kompetencija (K2)</w:t>
      </w:r>
      <w:r>
        <w:rPr>
          <w:rFonts w:cs="Times New Roman" w:ascii="Times New Roman" w:hAnsi="Times New Roman"/>
        </w:rPr>
        <w:t xml:space="preserve"> (pranešimo kūrimas; pranešimo perteikimas ir komunikacinė sąveika; pranešimo analizė ir interpretavimas)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w:t>
      </w:r>
    </w:p>
    <w:p>
      <w:pPr>
        <w:pStyle w:val="Normal"/>
        <w:spacing w:before="0" w:after="0"/>
        <w:jc w:val="both"/>
        <w:rPr>
          <w:rFonts w:ascii="Times New Roman" w:hAnsi="Times New Roman" w:cs="Times New Roman"/>
          <w:b/>
          <w:bCs/>
        </w:rPr>
      </w:pPr>
      <w:r>
        <w:rPr>
          <w:rFonts w:cs="Times New Roman" w:ascii="Times New Roman" w:hAnsi="Times New Roman"/>
          <w:b/>
          <w:bCs/>
        </w:rPr>
        <w:t xml:space="preserve">Skaitmeninė kompetencija (K3) </w:t>
      </w:r>
      <w:r>
        <w:rPr>
          <w:rFonts w:cs="Times New Roman" w:ascii="Times New Roman" w:hAnsi="Times New Roman"/>
          <w:sz w:val="24"/>
          <w:szCs w:val="24"/>
        </w:rPr>
        <w:t>(tikslingas, saugus ir etiškas skaitmeninių priemonių bei įrankių naudojimas; informacijos paieška; bendravimas ir bendradarbiavimas)</w:t>
      </w:r>
    </w:p>
    <w:p>
      <w:pPr>
        <w:pStyle w:val="Normal"/>
        <w:jc w:val="both"/>
        <w:rPr>
          <w:rFonts w:ascii="Times New Roman" w:hAnsi="Times New Roman" w:cs="Times New Roman"/>
          <w:b/>
          <w:bCs/>
          <w:i/>
          <w:iCs/>
        </w:rPr>
      </w:pPr>
      <w:r>
        <w:rPr>
          <w:rFonts w:cs="Times New Roman" w:ascii="Times New Roman" w:hAnsi="Times New Roman"/>
          <w:i/>
          <w:iCs/>
          <w:color w:val="333333"/>
          <w:sz w:val="21"/>
          <w:szCs w:val="21"/>
          <w:shd w:fill="FFFFFF" w:val="clear"/>
        </w:rPr>
        <w:t>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pPr>
        <w:pStyle w:val="Normal"/>
        <w:spacing w:before="0" w:after="0"/>
        <w:jc w:val="both"/>
        <w:rPr>
          <w:rFonts w:ascii="Times New Roman" w:hAnsi="Times New Roman" w:cs="Times New Roman"/>
        </w:rPr>
      </w:pPr>
      <w:r>
        <w:rPr>
          <w:rFonts w:cs="Times New Roman" w:ascii="Times New Roman" w:hAnsi="Times New Roman"/>
          <w:b/>
        </w:rPr>
        <w:t>Kūrybiškumo kompetencija (K4)</w:t>
      </w:r>
      <w:r>
        <w:rPr>
          <w:rFonts w:cs="Times New Roman" w:ascii="Times New Roman" w:hAnsi="Times New Roman"/>
        </w:rPr>
        <w:t xml:space="preserve"> (tyrinėjimas; generavimas; kūrimas; vertinimas ir refleksija)</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pPr>
        <w:pStyle w:val="Normal"/>
        <w:spacing w:before="0" w:after="0"/>
        <w:jc w:val="both"/>
        <w:rPr>
          <w:rFonts w:ascii="Times New Roman" w:hAnsi="Times New Roman" w:cs="Times New Roman"/>
        </w:rPr>
      </w:pPr>
      <w:r>
        <w:rPr>
          <w:rFonts w:cs="Times New Roman" w:ascii="Times New Roman" w:hAnsi="Times New Roman"/>
          <w:b/>
        </w:rPr>
        <w:t>Kultūrinė kompetencija (K5)</w:t>
      </w:r>
      <w:r>
        <w:rPr>
          <w:rFonts w:cs="Times New Roman" w:ascii="Times New Roman" w:hAnsi="Times New Roman"/>
        </w:rPr>
        <w:t xml:space="preserve"> (kultūrinis išprusimas; kultūrinė raiška; kultūrinis sąmoningumas)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Požiūris į matematiką kaip į kultūros dalį ugdomas, kai mokiniai susipažįsta su matematinės minties, idėjos plėtojimusi įvairiose kultūrose, aptaria matematikos taikymą kituose moksluose, ypač matematinio modeliavimo indėlį, siekiant technologijų pažangos.</w:t>
      </w:r>
    </w:p>
    <w:p>
      <w:pPr>
        <w:pStyle w:val="Normal"/>
        <w:spacing w:before="0" w:after="0"/>
        <w:jc w:val="both"/>
        <w:rPr>
          <w:rFonts w:ascii="Times New Roman" w:hAnsi="Times New Roman" w:cs="Times New Roman"/>
        </w:rPr>
      </w:pPr>
      <w:r>
        <w:rPr>
          <w:rFonts w:cs="Times New Roman" w:ascii="Times New Roman" w:hAnsi="Times New Roman"/>
          <w:b/>
        </w:rPr>
        <w:t>Pilietiškumo kompetencija (K6)</w:t>
      </w:r>
      <w:r>
        <w:rPr>
          <w:rFonts w:cs="Times New Roman" w:ascii="Times New Roman" w:hAnsi="Times New Roman"/>
        </w:rPr>
        <w:t xml:space="preserve"> (pilietinis tapatumas ir pilietinė galia; gyvenimas bendruomenėje kuriant demokratišką visuomenę; pagarba žmogaus teisėms ir laisvėms; valstybės kūrimas ir valstybingumo stiprinimas tarptautinėje bendruomenėje)</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w:t>
      </w:r>
    </w:p>
    <w:p>
      <w:pPr>
        <w:pStyle w:val="Normal"/>
        <w:spacing w:before="0" w:after="0"/>
        <w:jc w:val="both"/>
        <w:rPr>
          <w:rFonts w:ascii="Times New Roman" w:hAnsi="Times New Roman" w:cs="Times New Roman"/>
        </w:rPr>
      </w:pPr>
      <w:r>
        <w:rPr>
          <w:rFonts w:cs="Times New Roman" w:ascii="Times New Roman" w:hAnsi="Times New Roman"/>
          <w:b/>
        </w:rPr>
        <w:t>Socialinė, emocinė ir sveikos gyvensenos kompetencija (K7)</w:t>
      </w:r>
      <w:r>
        <w:rPr>
          <w:rFonts w:cs="Times New Roman" w:ascii="Times New Roman" w:hAnsi="Times New Roman"/>
        </w:rPr>
        <w:t xml:space="preserve"> (savimonė ir savitvardos įgūdžiai; empatiškumas, socialinis sąmoningumas ir teigiamų tarpusavio santykių kūrimas; atsakingas sprendimų priėmimas ir elgesys įvertinant pasekmes; rūpinimasis sveikata)</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Gilus nagrinėjamų matematinių sąvokų ir procedūrų supratimas, tobulėjantys indukcinio ir loginio–dedukcinio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w:t>
      </w:r>
      <w:r>
        <w:rPr>
          <w:rFonts w:cs="Times New Roman" w:ascii="Times New Roman" w:hAnsi="Times New Roman"/>
          <w:i/>
          <w:iCs/>
          <w:color w:val="009900"/>
          <w:sz w:val="21"/>
          <w:szCs w:val="21"/>
          <w:shd w:fill="FFFFFF" w:val="clear"/>
        </w:rPr>
        <w:t xml:space="preserve"> </w:t>
      </w:r>
      <w:r>
        <w:rPr>
          <w:rFonts w:cs="Times New Roman" w:ascii="Times New Roman" w:hAnsi="Times New Roman"/>
          <w:i/>
          <w:iCs/>
          <w:color w:val="333333"/>
          <w:sz w:val="21"/>
          <w:szCs w:val="21"/>
          <w:shd w:fill="FFFFFF" w:val="clear"/>
        </w:rPr>
        <w:t>kaip efektyvus savo veiklos planavimas, organizavimas ir valdymas, gebėjimas prisiimti atsakomybę, dirbant individualiai ir su kitais. Augantis pasitikėjimas savo jėgomis, mokantis matematikos, sudaro prielaidas emocinei ir socialinei asmens gerovei.</w:t>
      </w:r>
    </w:p>
    <w:p>
      <w:pPr>
        <w:pStyle w:val="Normal"/>
        <w:jc w:val="both"/>
        <w:rPr>
          <w:rFonts w:ascii="Times New Roman" w:hAnsi="Times New Roman" w:cs="Times New Roman"/>
          <w:color w:val="333333"/>
          <w:sz w:val="33"/>
          <w:szCs w:val="33"/>
        </w:rPr>
      </w:pPr>
      <w:r>
        <w:rPr>
          <w:rFonts w:cs="Times New Roman" w:ascii="Times New Roman" w:hAnsi="Times New Roman"/>
          <w:color w:val="333333"/>
          <w:sz w:val="33"/>
          <w:szCs w:val="33"/>
        </w:rPr>
      </w:r>
    </w:p>
    <w:p>
      <w:pPr>
        <w:pStyle w:val="Normal"/>
        <w:jc w:val="both"/>
        <w:rPr>
          <w:rFonts w:ascii="Times New Roman" w:hAnsi="Times New Roman" w:cs="Times New Roman"/>
          <w:i/>
          <w:iCs/>
        </w:rPr>
      </w:pPr>
      <w:r>
        <w:rPr>
          <w:rFonts w:cs="Times New Roman" w:ascii="Times New Roman" w:hAnsi="Times New Roman"/>
          <w:color w:val="333333"/>
          <w:sz w:val="33"/>
          <w:szCs w:val="33"/>
        </w:rPr>
        <w:t>Pasiekimų vertinimas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Mokinių pažangos ir pasiekimų vertinimas yra esminė ugdymo turinio dalis.</w:t>
      </w:r>
      <w:r>
        <w:rPr>
          <w:rFonts w:cs="Times New Roman" w:ascii="Times New Roman" w:hAnsi="Times New Roman"/>
          <w:color w:val="009900"/>
          <w:sz w:val="21"/>
          <w:szCs w:val="21"/>
        </w:rPr>
        <w:t xml:space="preserve"> </w:t>
      </w:r>
      <w:r>
        <w:rPr>
          <w:rFonts w:cs="Times New Roman" w:ascii="Times New Roman" w:hAnsi="Times New Roman"/>
          <w:color w:val="333333"/>
          <w:sz w:val="21"/>
          <w:szCs w:val="21"/>
        </w:rPr>
        <w:t>Pamokoje per visą mokymo(si) laikotarpį taikomas ugdomasis (formuojamasis) ir apibendrinamasis vertinimas. 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Numatyti keturi pasiekimų lygiai: slenkstinis (1), patenkinamas (2), pagrindinis (3), aukštesnysis (4). Mokinio mokymosi pasiekimai ugdymo laikotarpio pabaigoje apibendrinami ir vertinimo rezultatas fiksuojamas balu, taikant 10 balų vertinimo sistemą. Pasiekimų lygiai ir įvertinimai siejami: slenkstinis lygis – 4, patenkinamas lygis – 5 - 6, pagrindinis lygis – 7 - 8, aukštesnysis lygis – 9 - 10.</w:t>
      </w:r>
    </w:p>
    <w:p>
      <w:pPr>
        <w:pStyle w:val="Normal"/>
        <w:spacing w:beforeAutospacing="1" w:after="120"/>
        <w:jc w:val="both"/>
        <w:rPr>
          <w:rFonts w:ascii="Times New Roman" w:hAnsi="Times New Roman" w:cs="Times New Roman"/>
        </w:rPr>
      </w:pPr>
      <w:r>
        <w:rPr>
          <w:rFonts w:cs="Times New Roman" w:ascii="Times New Roman" w:hAnsi="Times New Roman"/>
        </w:rPr>
        <w:t>UGDOMI MATEMATIKOS PASIEKIMAI:</w:t>
      </w:r>
    </w:p>
    <w:p>
      <w:pPr>
        <w:pStyle w:val="Normal"/>
        <w:spacing w:before="0" w:after="0"/>
        <w:jc w:val="both"/>
        <w:rPr>
          <w:rFonts w:ascii="Times New Roman" w:hAnsi="Times New Roman" w:cs="Times New Roman"/>
          <w:b/>
        </w:rPr>
      </w:pPr>
      <w:r>
        <w:rPr>
          <w:rFonts w:cs="Times New Roman" w:ascii="Times New Roman" w:hAnsi="Times New Roman"/>
          <w:b/>
        </w:rPr>
        <w:t>Gilus supratimas ir argumentavimas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A1. </w:t>
      </w:r>
      <w:r>
        <w:rPr>
          <w:rFonts w:cs="Times New Roman" w:ascii="Times New Roman" w:hAnsi="Times New Roman"/>
        </w:rPr>
        <w:t>Tinkamai atlieka matematines procedūras, argumentuoja, kodėl jas taip atlieka.</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A2. Tyrinėja matematinius objektus, formuluoja hipotezes apie bendras jų savybes ir vietą anksčiau nagrinėtų objektų sistemoje.</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A3. Sukuria nuoseklią, logiškai pagrįstą teiginių seką ar užduoties sprendimą, vertina argumentavimo logiškumą, įrodo matematinius teiginius.</w:t>
      </w:r>
    </w:p>
    <w:p>
      <w:pPr>
        <w:pStyle w:val="Normal"/>
        <w:jc w:val="both"/>
        <w:rPr>
          <w:rFonts w:ascii="Times New Roman" w:hAnsi="Times New Roman" w:cs="Times New Roman"/>
          <w:lang w:eastAsia="lt-LT"/>
        </w:rPr>
      </w:pPr>
      <w:r>
        <w:rPr>
          <w:rFonts w:cs="Times New Roman" w:ascii="Times New Roman" w:hAnsi="Times New Roman"/>
          <w:lang w:eastAsia="lt-LT"/>
        </w:rPr>
        <w:t>A4. Planuoja, stebi, apmąsto, įsivertina matematikos mokymosi procesą ir rezultatus.</w:t>
      </w:r>
    </w:p>
    <w:p>
      <w:pPr>
        <w:pStyle w:val="Normal"/>
        <w:spacing w:before="0" w:after="0"/>
        <w:jc w:val="both"/>
        <w:rPr>
          <w:rFonts w:ascii="Times New Roman" w:hAnsi="Times New Roman" w:cs="Times New Roman"/>
          <w:b/>
        </w:rPr>
      </w:pPr>
      <w:r>
        <w:rPr>
          <w:rFonts w:cs="Times New Roman" w:ascii="Times New Roman" w:hAnsi="Times New Roman"/>
          <w:b/>
        </w:rPr>
        <w:t>Matematinis komunikavimas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B1. </w:t>
      </w:r>
      <w:r>
        <w:rPr>
          <w:rFonts w:cs="Times New Roman" w:ascii="Times New Roman" w:hAnsi="Times New Roman"/>
          <w:bCs/>
          <w:lang w:eastAsia="lt-LT"/>
        </w:rPr>
        <w:t>Analizuoja ir interpretuoja įvairiomis formomis (tekstu, paveikslu, schema, formule, lentele, brėžiniu, grafiku, diagrama) pateikto matematinio pranešimo elementų loginius ryšius.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B2. Atpažįsta, apibrėžia ir tinkamai vartoja matematinius faktus – terminus, žymėjimą, objektus, įprastus algoritmus ir operacijas. </w:t>
      </w:r>
    </w:p>
    <w:p>
      <w:pPr>
        <w:pStyle w:val="Normal"/>
        <w:jc w:val="both"/>
        <w:rPr>
          <w:rFonts w:ascii="Times New Roman" w:hAnsi="Times New Roman" w:cs="Times New Roman"/>
          <w:lang w:eastAsia="lt-LT"/>
        </w:rPr>
      </w:pPr>
      <w:r>
        <w:rPr>
          <w:rFonts w:cs="Times New Roman" w:ascii="Times New Roman" w:hAnsi="Times New Roman"/>
          <w:lang w:eastAsia="lt-LT"/>
        </w:rPr>
        <w:t>B3. Kuria, pristato matematinį pranešimą: atsirenka reikiamą informaciją, naudojasi tinkamomis fizinėmis ir skaitmeninėmis priemonėmis, formomis, tinkamai cituoja šaltinius.</w:t>
      </w:r>
    </w:p>
    <w:p>
      <w:pPr>
        <w:pStyle w:val="Normal"/>
        <w:spacing w:before="0" w:after="0"/>
        <w:jc w:val="both"/>
        <w:rPr>
          <w:rFonts w:ascii="Times New Roman" w:hAnsi="Times New Roman" w:cs="Times New Roman"/>
          <w:b/>
        </w:rPr>
      </w:pPr>
      <w:r>
        <w:rPr>
          <w:rFonts w:cs="Times New Roman" w:ascii="Times New Roman" w:hAnsi="Times New Roman"/>
          <w:b/>
        </w:rPr>
        <w:t>Problemų sprendimas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C1. Analizuoja įvairias problemines situacijas, pasiūlo matematinį modelį problemai išspręsti. </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C2. Pasiūlo, vertina alternatyvias matematinės užduoties sprendimo strategijas, sudaro užduoties sprendimo planą ir jį įgyvendina. </w:t>
      </w:r>
    </w:p>
    <w:p>
      <w:pPr>
        <w:pStyle w:val="Normal"/>
        <w:tabs>
          <w:tab w:val="clear" w:pos="1296"/>
          <w:tab w:val="left" w:pos="2169" w:leader="none"/>
          <w:tab w:val="center" w:pos="4986" w:leader="none"/>
        </w:tabs>
        <w:jc w:val="both"/>
        <w:rPr>
          <w:rFonts w:ascii="Times New Roman" w:hAnsi="Times New Roman" w:cs="Times New Roman"/>
          <w:lang w:eastAsia="lt-LT"/>
        </w:rPr>
      </w:pPr>
      <w:r>
        <w:rPr>
          <w:rFonts w:cs="Times New Roman" w:ascii="Times New Roman" w:hAnsi="Times New Roman"/>
          <w:lang w:eastAsia="lt-LT"/>
        </w:rPr>
        <w:t>C3. Įvertina matematinės veiklos rezultatus, daro pagrįstas išvadas, jas interpretuoja.</w:t>
      </w:r>
    </w:p>
    <w:p>
      <w:pPr>
        <w:pStyle w:val="Normal"/>
        <w:spacing w:beforeAutospacing="1" w:after="120"/>
        <w:jc w:val="both"/>
        <w:rPr>
          <w:rFonts w:ascii="Times New Roman" w:hAnsi="Times New Roman" w:cs="Times New Roman"/>
        </w:rPr>
      </w:pPr>
      <w:r>
        <w:rPr>
          <w:rFonts w:cs="Times New Roman" w:ascii="Times New Roman" w:hAnsi="Times New Roman"/>
        </w:rPr>
        <w:t>VERTINIMAS</w:t>
      </w:r>
    </w:p>
    <w:p>
      <w:pPr>
        <w:pStyle w:val="Normal"/>
        <w:jc w:val="both"/>
        <w:rPr>
          <w:rFonts w:ascii="Times New Roman" w:hAnsi="Times New Roman" w:cs="Times New Roman"/>
        </w:rPr>
      </w:pPr>
      <w:r>
        <w:rPr>
          <w:rFonts w:cs="Times New Roman" w:ascii="Times New Roman" w:hAnsi="Times New Roman"/>
        </w:rPr>
        <w:t>Mokinių pasiekimai vertinami vadovaujantis mokykloje patvirtintu mokinių pažangos ir pasiekimų vertinimo aprašu. Nuolat taikomas formuojamasis vertinimas</w:t>
      </w:r>
      <w:r>
        <w:rPr>
          <w:rFonts w:cs="Times New Roman" w:ascii="Times New Roman" w:hAnsi="Times New Roman"/>
          <w:color w:val="009900"/>
        </w:rPr>
        <w:t xml:space="preserve">, </w:t>
      </w:r>
      <w:r>
        <w:rPr>
          <w:rFonts w:cs="Times New Roman" w:ascii="Times New Roman" w:hAnsi="Times New Roman"/>
        </w:rPr>
        <w:t>atsižvelgiant į pamokos mokymosi uždavinius. Kiekvieno skyriaus pabaigoje taikomas apibendrinamasis vertinimas, panaudojant diagnostines užduotis, kurios parengiamos atsižvelgiant į Bendrosiose programose numatytus pasiekimus, pasiekimų lygius. Mokiniai mokomi vertinti ir įsivertinti ir, atsižvelgiant į pasiektus rezultatus, išsikelti tolesnio mokymosi tikslus.</w:t>
      </w:r>
    </w:p>
    <w:p>
      <w:pPr>
        <w:pStyle w:val="Normal"/>
        <w:spacing w:beforeAutospacing="1" w:after="120"/>
        <w:ind w:hanging="4111" w:start="4111"/>
        <w:jc w:val="both"/>
        <w:rPr>
          <w:rFonts w:ascii="Times New Roman" w:hAnsi="Times New Roman" w:cs="Times New Roman"/>
        </w:rPr>
      </w:pPr>
      <w:r>
        <w:rPr>
          <w:rFonts w:cs="Times New Roman" w:ascii="Times New Roman" w:hAnsi="Times New Roman"/>
        </w:rPr>
        <w:t>MOKYMO IR MOKYMOSI PRIEMONĖS: vadovėlis „MATEMATIKA VISIEMS 8“, 2 dalys. Vida Meškauskaitė, Vilma Pipirienė, Žydrūnė Stundžienė, leidykla „TEV“, 2025 m.</w:t>
      </w:r>
    </w:p>
    <w:p>
      <w:pPr>
        <w:pStyle w:val="Normal"/>
        <w:spacing w:lineRule="auto" w:line="276" w:before="0" w:after="0"/>
        <w:jc w:val="both"/>
        <w:rPr>
          <w:rFonts w:ascii="Times New Roman" w:hAnsi="Times New Roman" w:cs="Times New Roman"/>
          <w:color w:val="000000"/>
        </w:rPr>
      </w:pPr>
      <w:r>
        <w:rPr>
          <w:rFonts w:cs="Times New Roman" w:ascii="Times New Roman" w:hAnsi="Times New Roman"/>
        </w:rPr>
        <w:t xml:space="preserve">Ilgalaikis planas parengtas pagal Pagrindinio ugdymo matematikos bendrąją programą, 2022; Įsak. Nr. V-1269; </w:t>
      </w:r>
      <w:hyperlink r:id="rId2">
        <w:r>
          <w:rPr>
            <w:rStyle w:val="Style7"/>
            <w:rFonts w:cs="Times New Roman" w:ascii="Times New Roman" w:hAnsi="Times New Roman"/>
            <w:color w:themeColor="hyperlink" w:val="0563C1"/>
            <w:u w:val="single"/>
          </w:rPr>
          <w:t>https://www.emokykla.lt/bendrosios-programos/visos-bendrosios-programos</w:t>
        </w:r>
      </w:hyperlink>
    </w:p>
    <w:p>
      <w:pPr>
        <w:pStyle w:val="Normal"/>
        <w:spacing w:lineRule="auto" w:line="276" w:before="0" w:after="120"/>
        <w:jc w:val="both"/>
        <w:rPr>
          <w:rFonts w:ascii="Times New Roman" w:hAnsi="Times New Roman" w:cs="Times New Roman"/>
        </w:rPr>
      </w:pPr>
      <w:r>
        <w:rPr>
          <w:rFonts w:cs="Times New Roman" w:ascii="Times New Roman" w:hAnsi="Times New Roman"/>
        </w:rPr>
        <w:t>PAMOKŲ SKAIČIUS: 4 pamokos per savaitę, iš viso 144 pamokos.</w:t>
      </w:r>
    </w:p>
    <w:tbl>
      <w:tblPr>
        <w:tblStyle w:val="TableGrid"/>
        <w:tblW w:w="13948"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2545"/>
        <w:gridCol w:w="1134"/>
        <w:gridCol w:w="4963"/>
        <w:gridCol w:w="2516"/>
        <w:gridCol w:w="2790"/>
      </w:tblGrid>
      <w:tr>
        <w:trPr>
          <w:tblHeader w:val="true"/>
        </w:trPr>
        <w:tc>
          <w:tcPr>
            <w:tcW w:w="2545"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Mokymo(si) turinys</w:t>
            </w:r>
          </w:p>
        </w:tc>
        <w:tc>
          <w:tcPr>
            <w:tcW w:w="1134"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 xml:space="preserve">Valandų skaičius (70 </w:t>
            </w:r>
            <w:r>
              <w:rPr>
                <w:rFonts w:eastAsia="Calibri" w:cs="Times New Roman" w:ascii="Times New Roman" w:hAnsi="Times New Roman"/>
                <w:b/>
                <w:bCs/>
                <w:kern w:val="2"/>
                <w:sz w:val="24"/>
                <w:szCs w:val="24"/>
                <w:lang w:val="en-US" w:eastAsia="en-US" w:bidi="ar-SA"/>
              </w:rPr>
              <w:t>%</w:t>
            </w:r>
            <w:r>
              <w:rPr>
                <w:rFonts w:eastAsia="Calibri" w:cs="Times New Roman" w:ascii="Times New Roman" w:hAnsi="Times New Roman"/>
                <w:b/>
                <w:bCs/>
                <w:kern w:val="2"/>
                <w:sz w:val="24"/>
                <w:szCs w:val="24"/>
                <w:lang w:val="lt-LT" w:eastAsia="en-US" w:bidi="ar-SA"/>
              </w:rPr>
              <w:t>)</w:t>
            </w:r>
          </w:p>
        </w:tc>
        <w:tc>
          <w:tcPr>
            <w:tcW w:w="4963"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Rezultatas (kas bus vertinama pagal BUP)</w:t>
            </w:r>
          </w:p>
        </w:tc>
        <w:tc>
          <w:tcPr>
            <w:tcW w:w="2516"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Kompetencijos ir matematikos pasiekimai</w:t>
            </w:r>
          </w:p>
        </w:tc>
        <w:tc>
          <w:tcPr>
            <w:tcW w:w="2790"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Pastabos</w:t>
            </w:r>
          </w:p>
        </w:tc>
      </w:tr>
      <w:tr>
        <w:trPr/>
        <w:tc>
          <w:tcPr>
            <w:tcW w:w="2545" w:type="dxa"/>
            <w:tcBorders/>
          </w:tcPr>
          <w:p>
            <w:pPr>
              <w:pStyle w:val="Normal"/>
              <w:widowControl/>
              <w:suppressAutoHyphens w:val="true"/>
              <w:spacing w:before="0" w:after="0"/>
              <w:jc w:val="start"/>
              <w:rPr>
                <w:rFonts w:ascii="Times New Roman" w:hAnsi="Times New Roman" w:eastAsia="NSimSun" w:cs="Times New Roman"/>
                <w:b/>
                <w:bCs/>
                <w:color w:val="009900"/>
                <w:lang w:eastAsia="zh-CN" w:bidi="hi-IN"/>
              </w:rPr>
            </w:pPr>
            <w:r>
              <w:rPr>
                <w:rFonts w:eastAsia="NSimSun" w:cs="Times New Roman" w:ascii="Times New Roman" w:hAnsi="Times New Roman"/>
                <w:b/>
                <w:bCs/>
                <w:color w:val="009900"/>
                <w:kern w:val="2"/>
                <w:sz w:val="22"/>
                <w:szCs w:val="22"/>
                <w:lang w:val="lt-LT" w:eastAsia="zh-CN" w:bidi="hi-IN"/>
              </w:rPr>
              <w:t>Kartojame 7 klasės kursą</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1. Teiginiai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2. Laipsniai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3. Procentai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4. Nelygybės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5. Atvirkštinis proporcingumas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6. Tiesės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7. Trikampiai ir keturkampiai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8. Trikampių ir keturkampių plotai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9. Apskritimas ir skritulys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10. Stačioji prizmė ir taisyklingoji piramidė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11. Ritinys ir kūgis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12. Duomenys </w:t>
            </w:r>
          </w:p>
          <w:p>
            <w:pPr>
              <w:pStyle w:val="Normal"/>
              <w:widowControl/>
              <w:suppressAutoHyphens w:val="true"/>
              <w:spacing w:before="0" w:after="0"/>
              <w:jc w:val="start"/>
              <w:rPr>
                <w:rFonts w:ascii="Times New Roman" w:hAnsi="Times New Roman" w:cs="Times New Roman"/>
                <w:b/>
                <w:bCs/>
                <w:sz w:val="24"/>
                <w:szCs w:val="24"/>
              </w:rPr>
            </w:pPr>
            <w:r>
              <w:rPr>
                <w:rFonts w:cs="Times New Roman" w:ascii="Times New Roman" w:hAnsi="Times New Roman"/>
                <w:b/>
                <w:bCs/>
                <w:sz w:val="24"/>
                <w:szCs w:val="24"/>
              </w:rPr>
            </w:r>
          </w:p>
        </w:tc>
        <w:tc>
          <w:tcPr>
            <w:tcW w:w="1134" w:type="dxa"/>
            <w:tcBorders/>
          </w:tcPr>
          <w:p>
            <w:pPr>
              <w:pStyle w:val="Normal"/>
              <w:widowContro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kern w:val="2"/>
                <w:sz w:val="24"/>
                <w:szCs w:val="24"/>
                <w:lang w:val="lt-LT" w:eastAsia="en-US" w:bidi="ar-SA"/>
              </w:rPr>
              <w:t>12</w:t>
            </w:r>
          </w:p>
        </w:tc>
        <w:tc>
          <w:tcPr>
            <w:tcW w:w="4963"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Atpažįsta sąlyginius teiginius „jei, tai“, žino, kuo teiginio sąlyga skiriasi nuo teiginio išvados. Moka formuluoti sąlyginiam teiginiui atvirkštinį teiginį. </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Geba taikyti laipsnių su vienodais pagrindais ir laipsnių su skirtingais pagrindais, bet tokiais pačiais rodikliais, daugybos ir dalybos, taip pat laipsnio kėlimo laipsniu savybes. Moka skaičius užrašyti pavidalu </w:t>
            </w:r>
            <w:r>
              <w:rPr>
                <w:rFonts w:eastAsia="Calibri" w:cs="Cambria Math" w:ascii="Cambria Math" w:hAnsi="Cambria Math"/>
                <w:kern w:val="2"/>
                <w:sz w:val="22"/>
                <w:szCs w:val="22"/>
                <w:lang w:val="lt-LT" w:eastAsia="en-US" w:bidi="ar-SA"/>
              </w:rPr>
              <w:t>𝑎</w:t>
            </w:r>
            <w:r>
              <w:rPr>
                <w:rFonts w:eastAsia="Calibri" w:cs="Times New Roman" w:ascii="Times New Roman" w:hAnsi="Times New Roman"/>
                <w:kern w:val="2"/>
                <w:sz w:val="22"/>
                <w:szCs w:val="22"/>
                <w:lang w:val="lt-LT" w:eastAsia="en-US" w:bidi="ar-SA"/>
              </w:rPr>
              <w:t xml:space="preserve"> ∙ 10</w:t>
            </w:r>
            <w:r>
              <w:rPr>
                <w:rFonts w:eastAsia="Calibri" w:cs="Cambria Math" w:ascii="Cambria Math" w:hAnsi="Cambria Math"/>
                <w:kern w:val="2"/>
                <w:sz w:val="22"/>
                <w:szCs w:val="22"/>
                <w:vertAlign w:val="superscript"/>
                <w:lang w:val="lt-LT" w:eastAsia="en-US" w:bidi="ar-SA"/>
              </w:rPr>
              <w:t>𝑘</w:t>
            </w:r>
            <w:r>
              <w:rPr>
                <w:rFonts w:eastAsia="Calibri" w:cs="Times New Roman" w:ascii="Times New Roman" w:hAnsi="Times New Roman"/>
                <w:kern w:val="2"/>
                <w:sz w:val="22"/>
                <w:szCs w:val="22"/>
                <w:lang w:val="lt-LT" w:eastAsia="en-US" w:bidi="ar-SA"/>
              </w:rPr>
              <w:t xml:space="preserve">, kai 1 ≤ </w:t>
            </w:r>
            <w:r>
              <w:rPr>
                <w:rFonts w:eastAsia="Calibri" w:cs="Times New Roman" w:ascii="Times New Roman" w:hAnsi="Times New Roman"/>
                <w:i/>
                <w:iCs/>
                <w:kern w:val="2"/>
                <w:sz w:val="22"/>
                <w:szCs w:val="22"/>
                <w:lang w:val="lt-LT" w:eastAsia="en-US" w:bidi="ar-SA"/>
              </w:rPr>
              <w:t>a</w:t>
            </w:r>
            <w:r>
              <w:rPr>
                <w:rFonts w:eastAsia="Calibri" w:cs="Times New Roman" w:ascii="Times New Roman" w:hAnsi="Times New Roman"/>
                <w:kern w:val="2"/>
                <w:sz w:val="22"/>
                <w:szCs w:val="22"/>
                <w:lang w:val="lt-LT" w:eastAsia="en-US" w:bidi="ar-SA"/>
              </w:rPr>
              <w:t xml:space="preserve"> &lt;10, </w:t>
            </w:r>
            <w:r>
              <w:rPr>
                <w:rFonts w:eastAsia="Calibri" w:cs="Times New Roman" w:ascii="Times New Roman" w:hAnsi="Times New Roman"/>
                <w:i/>
                <w:iCs/>
                <w:kern w:val="2"/>
                <w:sz w:val="22"/>
                <w:szCs w:val="22"/>
                <w:lang w:val="lt-LT" w:eastAsia="en-US" w:bidi="ar-SA"/>
              </w:rPr>
              <w:t>k</w:t>
            </w:r>
            <w:r>
              <w:rPr>
                <w:rFonts w:eastAsia="Calibri" w:cs="Times New Roman" w:ascii="Times New Roman" w:hAnsi="Times New Roman"/>
                <w:kern w:val="2"/>
                <w:sz w:val="22"/>
                <w:szCs w:val="22"/>
                <w:lang w:val="lt-LT" w:eastAsia="en-US" w:bidi="ar-SA"/>
              </w:rPr>
              <w:t xml:space="preserve"> yra sveikasis skaičius.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spręsti nesudėtingus uždavinius, kai skaičius ar dydis kelis kartus tam tikru procentų skaičiumi padidinamas arba sumažinamas.</w:t>
            </w:r>
          </w:p>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2"/>
                <w:szCs w:val="22"/>
                <w:lang w:val="lt-LT" w:eastAsia="en-US" w:bidi="ar-SA"/>
              </w:rPr>
              <w:t>Moka taisyklingai užrašyti nelygybės sprendimą remiantis skaitinių nelygybių savybėmis, o gautus sprendinius pavaizduoti skaičių tiesėje ar užrašyti juos intervalu.</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Sprendžia nesudėtingus įvairaus konteksto uždavinius, kuriuose remiamasi samprata apie tiesioginį ir atvirkštinį proporcingumą.</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Žino kampų, kurie gaunami dvi tieses perkirtus trečiąja tiese, pavadinimus ir savybes bei geba jas taikyti uždaviniams spręsti. Geba nustatyti tiesių lygiagretumą pagal lygiagrečiųjų tiesių požymius, sprendžia nesudėtingus uždavinius, susijusius su tiesių lygiagretumu.</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Geba taikyti keturkampių savybes, spręsdami paprastus matematinio ir realaus konteksto uždavinius. Moka apskaičiuoti trikampio, lygiagretainio, trapecijos plotą. </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Paprastais atvejais geba rasti figūrų elementus, kai žinomas figūros plotas.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apskaičiuoti apskritimo ilgį, skritulio plotą, kai yra žinomas jo spindulio ilgis. Geba apskaičiuoti skritulio dalies plotą, apskritimo lanko dalies ilgį.</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paprastose situacijose taikyti stačiosios prizmės ir taisyklingosios piramidės tūrio formules.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apskaičiuoti ritinio ir kūgio šoninio paviršiaus ir viso paviršiaus plotus. Moka paprastose situacijose taikyti ritinio ir kūgio tūrio formules.</w:t>
            </w:r>
          </w:p>
          <w:p>
            <w:pPr>
              <w:pStyle w:val="Normal"/>
              <w:widowControl/>
              <w:suppressAutoHyphens w:val="true"/>
              <w:spacing w:lineRule="auto" w:line="240" w:before="0" w:after="120"/>
              <w:jc w:val="start"/>
              <w:rPr>
                <w:rFonts w:ascii="Times New Roman" w:hAnsi="Times New Roman" w:cs="Times New Roman"/>
                <w:sz w:val="24"/>
                <w:szCs w:val="24"/>
              </w:rPr>
            </w:pPr>
            <w:r>
              <w:rPr>
                <w:rFonts w:eastAsia="Calibri" w:cs="Times New Roman" w:ascii="Times New Roman" w:hAnsi="Times New Roman"/>
                <w:kern w:val="2"/>
                <w:sz w:val="22"/>
                <w:szCs w:val="22"/>
                <w:lang w:val="lt-LT" w:eastAsia="en-US" w:bidi="ar-SA"/>
              </w:rPr>
              <w:t>Skiria įvairius imčių sudarymo būdus. Moka duomenis pateikti skrituline diagrama ir spręsti uždavinius, kai duomenys pateikiami šios rūšies diagramomis.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eastAsia="Calibri" w:cs="Times New Roman"/>
                <w:i/>
                <w:sz w:val="24"/>
                <w:szCs w:val="24"/>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Rekomenduojama skirti pamoką skyreliui „Išmokome ir taikome“ </w:t>
            </w:r>
            <w:r>
              <w:rPr>
                <w:rFonts w:eastAsia="Calibri" w:cs="Times New Roman" w:ascii="Times New Roman" w:hAnsi="Times New Roman"/>
                <w:color w:val="000000"/>
                <w:kern w:val="2"/>
                <w:sz w:val="22"/>
                <w:szCs w:val="22"/>
                <w:lang w:val="lt-LT" w:eastAsia="en-US" w:bidi="ar-SA"/>
              </w:rPr>
              <w:t xml:space="preserve">(pamokai skirti laiką iš </w:t>
            </w:r>
            <w:r>
              <w:rPr>
                <w:rFonts w:eastAsia="Calibri" w:cs="Times New Roman" w:ascii="Times New Roman" w:hAnsi="Times New Roman"/>
                <w:kern w:val="2"/>
                <w:sz w:val="22"/>
                <w:szCs w:val="22"/>
                <w:lang w:val="lt-LT" w:eastAsia="en-US" w:bidi="ar-SA"/>
              </w:rPr>
              <w:t>30 % laisvai pasirenkamo ugdymo turinio).</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Nespręsti:</w:t>
            </w:r>
          </w:p>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4"/>
                <w:szCs w:val="24"/>
                <w:lang w:val="lt-LT" w:eastAsia="en-US" w:bidi="ar-SA"/>
              </w:rPr>
              <w:t xml:space="preserve">K21, K22, K23, K28, K33, K34. </w:t>
            </w:r>
          </w:p>
        </w:tc>
      </w:tr>
      <w:tr>
        <w:trPr/>
        <w:tc>
          <w:tcPr>
            <w:tcW w:w="2545" w:type="dxa"/>
            <w:tcBorders/>
          </w:tcPr>
          <w:p>
            <w:pPr>
              <w:pStyle w:val="Normal"/>
              <w:widowControl/>
              <w:suppressAutoHyphens w:val="true"/>
              <w:spacing w:before="0" w:after="0"/>
              <w:jc w:val="start"/>
              <w:rPr>
                <w:rFonts w:ascii="Times New Roman" w:hAnsi="Times New Roman" w:eastAsia="NSimSun" w:cs="Times New Roman"/>
                <w:b/>
                <w:bCs/>
                <w:color w:val="009900"/>
                <w:lang w:eastAsia="zh-CN" w:bidi="hi-IN"/>
              </w:rPr>
            </w:pPr>
            <w:r>
              <w:rPr>
                <w:rFonts w:eastAsia="NSimSun" w:cs="Times New Roman" w:ascii="Times New Roman" w:hAnsi="Times New Roman"/>
                <w:b/>
                <w:bCs/>
                <w:color w:val="009900"/>
                <w:kern w:val="2"/>
                <w:sz w:val="22"/>
                <w:szCs w:val="22"/>
                <w:lang w:val="lt-LT" w:eastAsia="zh-CN" w:bidi="hi-IN"/>
              </w:rPr>
              <w:t>1. KVADRATINĖ IR KUBINĖ ŠAKNYS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 Kvadratinė šaknis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 Kubinė šaknis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1.3. Iracionalieji skaičiai</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1.4. Palyginame</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1.5. Sudedame ir atimame</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1.6. Šaknis iš sandaugos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1.7. Šaknis iš trupmenos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1.8. Iškeliame prieš šaknies ženklą, įkeliame į pošaknį</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1.9. Skaitinių reiškinių su šaknimis pertvarkiai</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1.10. Raidinių reiškinių su šaknimis pertvarkiai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12</w:t>
            </w:r>
          </w:p>
        </w:tc>
        <w:tc>
          <w:tcPr>
            <w:tcW w:w="4963" w:type="dxa"/>
            <w:tcBorders/>
          </w:tcPr>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Geba apibrėžti kvadratinės ir kubinės šaknų sąvokas. Žino kvadratinių ir kubinių šaknų reikšmes (sudėtingesniais atvejais geba apskaičiuoti), kai pošaknyje yra atitinkamų racionaliųjų skaičių kvadratai, kubai. Moka rasti kvadratinės ir kubinės šaknies apytikslę reikšmę, įvertinti skaitinio reiškinio, kuriame yra kvadratinė arba kubinė šaknis, reikšmę. Sprendžia uždavinius, kai be skaičiuotuvo reikia įvertinti, tarp kokių sveikųjų skaičių yra nurodytoji šaknis (pavyzdžiui, rasti tokį sveikąjį skaičių </w:t>
            </w:r>
            <w:r>
              <w:rPr>
                <w:rFonts w:eastAsia="Calibri" w:cs="Times New Roman" w:ascii="Times New Roman" w:hAnsi="Times New Roman"/>
                <w:i/>
                <w:iCs/>
                <w:kern w:val="2"/>
                <w:sz w:val="22"/>
                <w:szCs w:val="22"/>
                <w:lang w:val="lt-LT" w:eastAsia="en-US" w:bidi="ar-SA"/>
              </w:rPr>
              <w:t>a</w:t>
            </w:r>
            <w:r>
              <w:rPr>
                <w:rFonts w:eastAsia="Calibri" w:cs="Times New Roman" w:ascii="Times New Roman" w:hAnsi="Times New Roman"/>
                <w:kern w:val="2"/>
                <w:sz w:val="22"/>
                <w:szCs w:val="22"/>
                <w:lang w:val="lt-LT" w:eastAsia="en-US" w:bidi="ar-SA"/>
              </w:rPr>
              <w:t xml:space="preserve">, su kuriuo teisinga nelygybė </w:t>
            </w:r>
            <w:r>
              <w:rPr>
                <w:rFonts w:eastAsia="Calibri" w:cs="Cambria Math" w:ascii="Cambria Math" w:hAnsi="Cambria Math"/>
                <w:kern w:val="2"/>
                <w:sz w:val="22"/>
                <w:szCs w:val="22"/>
                <w:lang w:val="lt-LT" w:eastAsia="en-US" w:bidi="ar-SA"/>
              </w:rPr>
              <w:t>𝑎</w:t>
            </w:r>
            <w:r>
              <w:rPr>
                <w:rFonts w:eastAsia="Calibri" w:cs="Times New Roman" w:ascii="Times New Roman" w:hAnsi="Times New Roman"/>
                <w:kern w:val="2"/>
                <w:sz w:val="22"/>
                <w:szCs w:val="22"/>
                <w:lang w:val="lt-LT" w:eastAsia="en-US" w:bidi="ar-SA"/>
              </w:rPr>
              <w:t xml:space="preserve"> ≤ </w:t>
            </w:r>
            <w:r>
              <w:rPr/>
            </w:r>
            <m:oMath xmlns:m="http://schemas.openxmlformats.org/officeDocument/2006/math">
              <m:rad>
                <m:radPr>
                  <m:degHide m:val="1"/>
                </m:radPr>
                <m:deg/>
                <m:e>
                  <m:r>
                    <m:t xml:space="preserve">111</m:t>
                  </m:r>
                </m:e>
              </m:rad>
            </m:oMath>
            <w:r>
              <w:rPr>
                <w:rFonts w:eastAsia="Calibri" w:cs="Times New Roman" w:ascii="Times New Roman" w:hAnsi="Times New Roman"/>
                <w:kern w:val="2"/>
                <w:sz w:val="22"/>
                <w:szCs w:val="22"/>
                <w:lang w:val="lt-LT" w:eastAsia="en-US" w:bidi="ar-SA"/>
              </w:rPr>
              <w:t xml:space="preserve"> &lt; </w:t>
            </w:r>
            <w:r>
              <w:rPr>
                <w:rFonts w:eastAsia="Calibri" w:cs="Cambria Math" w:ascii="Cambria Math" w:hAnsi="Cambria Math"/>
                <w:kern w:val="2"/>
                <w:sz w:val="22"/>
                <w:szCs w:val="22"/>
                <w:lang w:val="lt-LT" w:eastAsia="en-US" w:bidi="ar-SA"/>
              </w:rPr>
              <w:t>𝑎</w:t>
            </w:r>
            <w:r>
              <w:rPr>
                <w:rFonts w:eastAsia="Calibri" w:cs="Times New Roman" w:ascii="Times New Roman" w:hAnsi="Times New Roman"/>
                <w:kern w:val="2"/>
                <w:sz w:val="22"/>
                <w:szCs w:val="22"/>
                <w:lang w:val="lt-LT" w:eastAsia="en-US" w:bidi="ar-SA"/>
              </w:rPr>
              <w:t xml:space="preserve"> + 1). Moka įkelti skaičių į pošaknį ir iškelti jį prieš šaknies ženklą.  Geba atlikti veiksmus su šaknimis, kai jų pošakniai yra tokie patys. Be skaičiuotuvo moka sudauginti to paties laipsnio šaknis ar jas padalyti. </w:t>
            </w:r>
          </w:p>
          <w:p>
            <w:pPr>
              <w:pStyle w:val="Normal"/>
              <w:widowControl/>
              <w:suppressAutoHyphens w:val="true"/>
              <w:spacing w:before="0" w:after="120"/>
              <w:jc w:val="both"/>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Žino veiksmų su šaknimis atlikimo tvarką. Moka apskaičiuoti, palyginti, įvertinti nesudėtingų skaitinių reiškinių su šaknimis reikšmes. Atliekant veiksmus su šaknimis, pirmenybę teikia sklandžiam mintino skaičiavimo strategijų taikymui.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B2, B3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C2,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Kai skaičiai nėra patogūs skaičiuoti, mokiniai gali pasitelkti skaičiuotuvą.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Rekomenduojama 8-toje klasėje leisti naudotis tik paprastu skaičiuotuvu (ekrane yra viena eilutė).</w:t>
            </w:r>
          </w:p>
        </w:tc>
      </w:tr>
      <w:tr>
        <w:trPr/>
        <w:tc>
          <w:tcPr>
            <w:tcW w:w="2545" w:type="dxa"/>
            <w:tcBorders/>
          </w:tcPr>
          <w:p>
            <w:pPr>
              <w:pStyle w:val="Normal"/>
              <w:widowControl/>
              <w:suppressAutoHyphens w:val="true"/>
              <w:spacing w:before="0" w:after="0"/>
              <w:jc w:val="start"/>
              <w:rPr>
                <w:rFonts w:ascii="Times New Roman" w:hAnsi="Times New Roman" w:eastAsia="NSimSun" w:cs="Times New Roman"/>
                <w:b/>
                <w:bCs/>
                <w:color w:val="009900"/>
                <w:lang w:eastAsia="zh-CN" w:bidi="hi-IN"/>
              </w:rPr>
            </w:pPr>
            <w:r>
              <w:rPr>
                <w:rFonts w:eastAsia="NSimSun" w:cs="Times New Roman" w:ascii="Times New Roman" w:hAnsi="Times New Roman"/>
                <w:b/>
                <w:bCs/>
                <w:color w:val="009900"/>
                <w:kern w:val="2"/>
                <w:sz w:val="22"/>
                <w:szCs w:val="22"/>
                <w:lang w:val="lt-LT" w:eastAsia="zh-CN" w:bidi="hi-IN"/>
              </w:rPr>
              <w:t>2. SKAIČIŲ AIBĖS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2.1. Skaičių aibės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2.2. Skaičių aibės poaibis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2.3. Realieji skaičiai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2.4. Veiksmai su realiaisiais skaičiais</w:t>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6</w:t>
            </w:r>
          </w:p>
        </w:tc>
        <w:tc>
          <w:tcPr>
            <w:tcW w:w="4963" w:type="dxa"/>
            <w:tcBorders/>
          </w:tcPr>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Žino, kokie skaičiai vadinami racionaliaisiais, iracionaliaisiais, realiaisiais. Geba apibrėžti skaičių aibės, baigtinės aibės, begalinės aibės, aibės poaibio sąvokas. Nustato ryšį tarp skaičių aibių </w:t>
            </w:r>
            <w:r>
              <w:rPr>
                <w:rFonts w:eastAsia="Calibri" w:cs="Times New Roman" w:ascii="Times New Roman" w:hAnsi="Times New Roman"/>
                <w:b/>
                <w:bCs/>
                <w:i/>
                <w:iCs/>
                <w:kern w:val="2"/>
                <w:sz w:val="22"/>
                <w:szCs w:val="22"/>
                <w:lang w:val="lt-LT" w:eastAsia="en-US" w:bidi="ar-SA"/>
              </w:rPr>
              <w:t>N</w:t>
            </w:r>
            <w:r>
              <w:rPr>
                <w:rFonts w:eastAsia="Calibri" w:cs="Times New Roman" w:ascii="Times New Roman" w:hAnsi="Times New Roman"/>
                <w:kern w:val="2"/>
                <w:sz w:val="22"/>
                <w:szCs w:val="22"/>
                <w:lang w:val="lt-LT" w:eastAsia="en-US" w:bidi="ar-SA"/>
              </w:rPr>
              <w:t xml:space="preserve">, </w:t>
            </w:r>
            <w:r>
              <w:rPr>
                <w:rFonts w:eastAsia="Calibri" w:cs="Times New Roman" w:ascii="Times New Roman" w:hAnsi="Times New Roman"/>
                <w:b/>
                <w:bCs/>
                <w:i/>
                <w:iCs/>
                <w:kern w:val="2"/>
                <w:sz w:val="22"/>
                <w:szCs w:val="22"/>
                <w:lang w:val="lt-LT" w:eastAsia="en-US" w:bidi="ar-SA"/>
              </w:rPr>
              <w:t>Z</w:t>
            </w:r>
            <w:r>
              <w:rPr>
                <w:rFonts w:eastAsia="Calibri" w:cs="Times New Roman" w:ascii="Times New Roman" w:hAnsi="Times New Roman"/>
                <w:kern w:val="2"/>
                <w:sz w:val="22"/>
                <w:szCs w:val="22"/>
                <w:lang w:val="lt-LT" w:eastAsia="en-US" w:bidi="ar-SA"/>
              </w:rPr>
              <w:t xml:space="preserve">, </w:t>
            </w:r>
            <w:r>
              <w:rPr>
                <w:rFonts w:eastAsia="Calibri" w:cs="Times New Roman" w:ascii="Times New Roman" w:hAnsi="Times New Roman"/>
                <w:b/>
                <w:bCs/>
                <w:i/>
                <w:iCs/>
                <w:kern w:val="2"/>
                <w:sz w:val="22"/>
                <w:szCs w:val="22"/>
                <w:lang w:val="lt-LT" w:eastAsia="en-US" w:bidi="ar-SA"/>
              </w:rPr>
              <w:t>Q</w:t>
            </w:r>
            <w:r>
              <w:rPr>
                <w:rFonts w:eastAsia="Calibri" w:cs="Times New Roman" w:ascii="Times New Roman" w:hAnsi="Times New Roman"/>
                <w:kern w:val="2"/>
                <w:sz w:val="22"/>
                <w:szCs w:val="22"/>
                <w:lang w:val="lt-LT" w:eastAsia="en-US" w:bidi="ar-SA"/>
              </w:rPr>
              <w:t xml:space="preserve">, </w:t>
            </w:r>
            <w:r>
              <w:rPr>
                <w:rFonts w:eastAsia="Calibri" w:cs="Times New Roman" w:ascii="Times New Roman" w:hAnsi="Times New Roman"/>
                <w:b/>
                <w:bCs/>
                <w:i/>
                <w:iCs/>
                <w:kern w:val="2"/>
                <w:sz w:val="22"/>
                <w:szCs w:val="22"/>
                <w:lang w:val="lt-LT" w:eastAsia="en-US" w:bidi="ar-SA"/>
              </w:rPr>
              <w:t>I</w:t>
            </w:r>
            <w:r>
              <w:rPr>
                <w:rFonts w:eastAsia="Calibri" w:cs="Times New Roman" w:ascii="Times New Roman" w:hAnsi="Times New Roman"/>
                <w:kern w:val="2"/>
                <w:sz w:val="22"/>
                <w:szCs w:val="22"/>
                <w:lang w:val="lt-LT" w:eastAsia="en-US" w:bidi="ar-SA"/>
              </w:rPr>
              <w:t xml:space="preserve">, </w:t>
            </w:r>
            <w:r>
              <w:rPr>
                <w:rFonts w:eastAsia="Calibri" w:cs="Times New Roman" w:ascii="Times New Roman" w:hAnsi="Times New Roman"/>
                <w:b/>
                <w:bCs/>
                <w:i/>
                <w:iCs/>
                <w:kern w:val="2"/>
                <w:sz w:val="22"/>
                <w:szCs w:val="22"/>
                <w:lang w:val="lt-LT" w:eastAsia="en-US" w:bidi="ar-SA"/>
              </w:rPr>
              <w:t>R</w:t>
            </w:r>
            <w:r>
              <w:rPr>
                <w:rFonts w:eastAsia="Calibri" w:cs="Times New Roman" w:ascii="Times New Roman" w:hAnsi="Times New Roman"/>
                <w:kern w:val="2"/>
                <w:sz w:val="22"/>
                <w:szCs w:val="22"/>
                <w:lang w:val="lt-LT" w:eastAsia="en-US" w:bidi="ar-SA"/>
              </w:rPr>
              <w:t>. Moka pagrįsti ir užrašyti, kuriai skaičių aibei priklauso ar nepriklauso įvairūs skaičiai. Mokomasi skaičių aibes pavaizduoti simboliais, schemomis, užrašyti, naudojantis aibių teorijos simboliais, intervalais, nelygybėmis, reiškiniais.</w:t>
            </w:r>
          </w:p>
          <w:p>
            <w:pPr>
              <w:pStyle w:val="Normal"/>
              <w:widowControl/>
              <w:suppressAutoHyphens w:val="true"/>
              <w:spacing w:lineRule="auto" w:line="240" w:before="0" w:after="12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Žino veiksmų su realiaisiais skaičiais atlikimo tvarką. Moka apskaičiuoti, palyginti, įvertinti nesudėtingų skaitinių reiškinių reikšmes. Atliekant veiksmus su realiaisiais skaičiais, pirmenybę teikia sklandžiam mintinio skaičiavimo strategijų taikymui.</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i/>
                <w:iCs/>
                <w:color w:val="000000"/>
                <w:kern w:val="2"/>
                <w:sz w:val="22"/>
                <w:szCs w:val="22"/>
                <w:lang w:val="lt-LT" w:eastAsia="en-US" w:bidi="ar-SA"/>
              </w:rPr>
              <w:t xml:space="preserve">Nespręsti: </w:t>
            </w:r>
          </w:p>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2"/>
                <w:szCs w:val="22"/>
                <w:lang w:val="lt-LT" w:eastAsia="en-US" w:bidi="ar-SA"/>
              </w:rPr>
              <w:t>Tema 2.1.: U119</w:t>
            </w:r>
          </w:p>
        </w:tc>
      </w:tr>
      <w:tr>
        <w:trPr/>
        <w:tc>
          <w:tcPr>
            <w:tcW w:w="2545" w:type="dxa"/>
            <w:tcBorders/>
          </w:tcPr>
          <w:p>
            <w:pPr>
              <w:pStyle w:val="Normal"/>
              <w:widowControl/>
              <w:suppressAutoHyphens w:val="true"/>
              <w:spacing w:before="0" w:after="0"/>
              <w:jc w:val="start"/>
              <w:rPr>
                <w:rFonts w:ascii="Times New Roman" w:hAnsi="Times New Roman" w:eastAsia="NSimSun" w:cs="Times New Roman"/>
                <w:b/>
                <w:bCs/>
                <w:strike/>
                <w:color w:val="009900"/>
                <w:lang w:eastAsia="zh-CN" w:bidi="hi-IN"/>
              </w:rPr>
            </w:pPr>
            <w:r>
              <w:rPr>
                <w:rFonts w:eastAsia="NSimSun" w:cs="Times New Roman" w:ascii="Times New Roman" w:hAnsi="Times New Roman"/>
                <w:b/>
                <w:bCs/>
                <w:strike/>
                <w:color w:val="009900"/>
                <w:kern w:val="2"/>
                <w:sz w:val="22"/>
                <w:szCs w:val="22"/>
                <w:lang w:val="lt-LT" w:eastAsia="zh-CN" w:bidi="hi-IN"/>
              </w:rPr>
              <w:t>3. FINANSINIAI SKAIČIAVIMAI</w:t>
            </w:r>
          </w:p>
          <w:p>
            <w:pPr>
              <w:pStyle w:val="Normal"/>
              <w:widowControl/>
              <w:suppressAutoHyphens w:val="true"/>
              <w:spacing w:before="0" w:after="0"/>
              <w:jc w:val="start"/>
              <w:rPr>
                <w:rFonts w:ascii="Times New Roman" w:hAnsi="Times New Roman" w:cs="Times New Roman"/>
                <w:strike/>
              </w:rPr>
            </w:pPr>
            <w:r>
              <w:rPr>
                <w:rFonts w:eastAsia="Calibri" w:cs="Times New Roman" w:ascii="Times New Roman" w:hAnsi="Times New Roman"/>
                <w:strike/>
                <w:kern w:val="2"/>
                <w:sz w:val="22"/>
                <w:szCs w:val="22"/>
                <w:lang w:val="lt-LT" w:eastAsia="en-US" w:bidi="ar-SA"/>
              </w:rPr>
              <w:t>3.1. Valiutų kursai</w:t>
            </w:r>
          </w:p>
          <w:p>
            <w:pPr>
              <w:pStyle w:val="Normal"/>
              <w:widowControl/>
              <w:suppressAutoHyphens w:val="true"/>
              <w:spacing w:before="0" w:after="0"/>
              <w:jc w:val="start"/>
              <w:rPr>
                <w:rFonts w:ascii="Times New Roman" w:hAnsi="Times New Roman" w:cs="Times New Roman"/>
                <w:strike/>
              </w:rPr>
            </w:pPr>
            <w:r>
              <w:rPr>
                <w:rFonts w:eastAsia="Calibri" w:cs="Times New Roman" w:ascii="Times New Roman" w:hAnsi="Times New Roman"/>
                <w:strike/>
                <w:kern w:val="2"/>
                <w:sz w:val="22"/>
                <w:szCs w:val="22"/>
                <w:lang w:val="lt-LT" w:eastAsia="en-US" w:bidi="ar-SA"/>
              </w:rPr>
              <w:t xml:space="preserve">3.2. Paprastosios ir sudėtinės palūkanos </w:t>
            </w:r>
          </w:p>
          <w:p>
            <w:pPr>
              <w:pStyle w:val="Normal"/>
              <w:widowControl/>
              <w:suppressAutoHyphens w:val="true"/>
              <w:spacing w:before="0" w:after="0"/>
              <w:jc w:val="start"/>
              <w:rPr>
                <w:rFonts w:ascii="Times New Roman" w:hAnsi="Times New Roman" w:cs="Times New Roman"/>
                <w:strike/>
              </w:rPr>
            </w:pPr>
            <w:r>
              <w:rPr>
                <w:rFonts w:eastAsia="Calibri" w:cs="Times New Roman" w:ascii="Times New Roman" w:hAnsi="Times New Roman"/>
                <w:strike/>
                <w:kern w:val="2"/>
                <w:sz w:val="22"/>
                <w:szCs w:val="22"/>
                <w:lang w:val="lt-LT" w:eastAsia="en-US" w:bidi="ar-SA"/>
              </w:rPr>
              <w:t xml:space="preserve">3.3. Paprastosios palūkanos ir grafikai </w:t>
            </w:r>
          </w:p>
          <w:p>
            <w:pPr>
              <w:pStyle w:val="Normal"/>
              <w:widowControl/>
              <w:suppressAutoHyphens w:val="true"/>
              <w:spacing w:before="0" w:after="0"/>
              <w:jc w:val="start"/>
              <w:rPr>
                <w:rFonts w:ascii="Times New Roman" w:hAnsi="Times New Roman" w:cs="Times New Roman"/>
                <w:strike/>
              </w:rPr>
            </w:pPr>
            <w:r>
              <w:rPr>
                <w:rFonts w:eastAsia="Calibri" w:cs="Times New Roman" w:ascii="Times New Roman" w:hAnsi="Times New Roman"/>
                <w:strike/>
                <w:kern w:val="2"/>
                <w:sz w:val="22"/>
                <w:szCs w:val="22"/>
                <w:lang w:val="lt-LT" w:eastAsia="en-US" w:bidi="ar-SA"/>
              </w:rPr>
              <w:t>3.4. Pirkimas išsimokėtinai</w:t>
            </w:r>
          </w:p>
          <w:p>
            <w:pPr>
              <w:pStyle w:val="Normal"/>
              <w:widowControl/>
              <w:suppressAutoHyphens w:val="true"/>
              <w:spacing w:before="0" w:after="0"/>
              <w:jc w:val="start"/>
              <w:rPr>
                <w:rFonts w:ascii="Times New Roman" w:hAnsi="Times New Roman" w:cs="Times New Roman"/>
                <w:strike/>
              </w:rPr>
            </w:pPr>
            <w:r>
              <w:rPr>
                <w:rFonts w:eastAsia="Calibri" w:cs="Times New Roman" w:ascii="Times New Roman" w:hAnsi="Times New Roman"/>
                <w:strike/>
                <w:kern w:val="2"/>
                <w:sz w:val="22"/>
                <w:szCs w:val="22"/>
                <w:lang w:val="lt-LT" w:eastAsia="en-US" w:bidi="ar-SA"/>
              </w:rPr>
              <w:t>3.5. Mažėjančiosios palūkanos</w:t>
            </w:r>
          </w:p>
          <w:p>
            <w:pPr>
              <w:pStyle w:val="Normal"/>
              <w:widowControl/>
              <w:suppressAutoHyphens w:val="true"/>
              <w:spacing w:before="0" w:after="0"/>
              <w:jc w:val="start"/>
              <w:rPr>
                <w:rFonts w:ascii="Times New Roman" w:hAnsi="Times New Roman" w:cs="Times New Roman"/>
                <w:strike/>
              </w:rPr>
            </w:pPr>
            <w:r>
              <w:rPr>
                <w:rFonts w:cs="Times New Roman" w:ascii="Times New Roman" w:hAnsi="Times New Roman"/>
                <w:strike/>
              </w:rPr>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7</w:t>
            </w:r>
          </w:p>
        </w:tc>
        <w:tc>
          <w:tcPr>
            <w:tcW w:w="4963" w:type="dxa"/>
            <w:tcBorders/>
          </w:tcPr>
          <w:p>
            <w:pPr>
              <w:pStyle w:val="Normal"/>
              <w:widowControl/>
              <w:suppressAutoHyphens w:val="true"/>
              <w:spacing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Moka nustatyti ir palyginti valiutų kursus, konvertuoti valiutas, priimti sprendimą dėl mokėjimo būdo, kai galima pasirinkti, kokia valiuta atsiskaityti už prekes ar teikiamas paslaugas. Geba sudaryti paprastų ir sudėtinių palūkanų augimo scenarijus ir žino jų poveikį, planuojant ilgalaikį finansavimą (geba sudaryti paskolos išsimokėjimo planą). Nesudėtingais atvejais moka apskaičiuoti, kokia būtų fiksuotos ir kintamosios palūkanų normos įtaka grąžintinai pinigų sumai. </w:t>
            </w:r>
          </w:p>
          <w:p>
            <w:pPr>
              <w:pStyle w:val="Normal"/>
              <w:widowControl/>
              <w:suppressAutoHyphens w:val="true"/>
              <w:spacing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apskaičiuoti prekių įsigijimo, perkant kreditu ar lizingu, kainų skirtumus. Geba nustatyti kredito ir lizingo privalumus ir trūkumus. Skaičiuojant kainą, kurią sudaro pastovioji ir kintamoji dalis, moka sudaryti įvesties ir (ar) išvesties (I ir (ar) O) lenteles. Tokių lentelių duomenis sieja su grafine jų išraiška, pastebint, kad skaičių poras atitinkantys taškai yra vienoje tiesėje.</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 xml:space="preserve">K1, K2, K3  </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Rekomenduojama: </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1. Naudoti IKT (bankų svetainės, valiutų kursų skaičiuoklės...) </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2. Praktiniai darbai: mokiniai sudaro ilgalaikius finansavimo ar paskolų planus (paprastųjų ir sudėtinių palūkanų) bei juos palygina.</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3. Edukacija banke. </w:t>
            </w:r>
          </w:p>
          <w:p>
            <w:pPr>
              <w:pStyle w:val="Normal"/>
              <w:widowControl/>
              <w:suppressAutoHyphens w:val="true"/>
              <w:spacing w:lineRule="auto" w:line="240" w:before="0" w:after="120"/>
              <w:jc w:val="start"/>
              <w:rPr>
                <w:color w:val="000000"/>
              </w:rPr>
            </w:pPr>
            <w:r>
              <w:rPr>
                <w:rFonts w:eastAsia="Calibri" w:cs="Times New Roman" w:ascii="Times New Roman" w:hAnsi="Times New Roman"/>
                <w:b/>
                <w:bCs/>
                <w:color w:val="000000"/>
                <w:kern w:val="2"/>
                <w:sz w:val="22"/>
                <w:szCs w:val="22"/>
                <w:lang w:val="lt-LT" w:eastAsia="en-US" w:bidi="ar-SA"/>
              </w:rPr>
              <w:t>ŠIO SKYRIAUS NENAGRINĖTI.</w:t>
            </w:r>
          </w:p>
        </w:tc>
      </w:tr>
      <w:tr>
        <w:trPr/>
        <w:tc>
          <w:tcPr>
            <w:tcW w:w="2545" w:type="dxa"/>
            <w:tcBorders/>
          </w:tcPr>
          <w:p>
            <w:pPr>
              <w:pStyle w:val="Normal"/>
              <w:widowControl/>
              <w:suppressAutoHyphens w:val="true"/>
              <w:spacing w:before="0" w:after="0"/>
              <w:jc w:val="start"/>
              <w:rPr>
                <w:rFonts w:ascii="Times New Roman" w:hAnsi="Times New Roman" w:eastAsia="NSimSun" w:cs="Times New Roman"/>
                <w:b/>
                <w:bCs/>
                <w:color w:val="009900"/>
                <w:lang w:eastAsia="zh-CN" w:bidi="hi-IN"/>
              </w:rPr>
            </w:pPr>
            <w:r>
              <w:rPr>
                <w:rFonts w:eastAsia="NSimSun" w:cs="Times New Roman" w:ascii="Times New Roman" w:hAnsi="Times New Roman"/>
                <w:b/>
                <w:bCs/>
                <w:color w:val="009900"/>
                <w:kern w:val="2"/>
                <w:sz w:val="22"/>
                <w:szCs w:val="22"/>
                <w:lang w:val="lt-LT" w:eastAsia="zh-CN" w:bidi="hi-IN"/>
              </w:rPr>
              <w:t>4. REIŠKINIAI</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4.1. Vienanaris ir daugianaris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4.2. Atskliautimas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4.3. Daugianarių daugyba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4.4. Dvinario kėlimas kvadratu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4.5. Dviejų narių sumos dauginimas iš tų narių skirtumo</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4.6. Bendrojo dauginamojo iškėlimas prieš skliaustus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4.7. Skaidymas dauginamaisiais grupavimo būdu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4.8. Skaidymas dauginamaisiais taikant greitosios daugybos formules </w:t>
            </w:r>
          </w:p>
        </w:tc>
        <w:tc>
          <w:tcPr>
            <w:tcW w:w="1134" w:type="dxa"/>
            <w:tcBorders/>
          </w:tcPr>
          <w:p>
            <w:pPr>
              <w:pStyle w:val="Normal"/>
              <w:widowContro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kern w:val="2"/>
                <w:sz w:val="24"/>
                <w:szCs w:val="24"/>
                <w:lang w:val="lt-LT" w:eastAsia="en-US" w:bidi="ar-SA"/>
              </w:rPr>
              <w:t>13</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Apibrėžia vienanario, dvinario, trinario, daugianario sąvokos. Geba nustatyti vienanario koeficientą, sutraukti panašiuosius narius. Moka sudauginti raidinius reiškinius. Geba išvesti ir taikyti greitosios daugybos formules:</w:t>
            </w:r>
          </w:p>
          <w:p>
            <w:pPr>
              <w:pStyle w:val="ListParagraph"/>
              <w:widowControl/>
              <w:numPr>
                <w:ilvl w:val="0"/>
                <w:numId w:val="2"/>
              </w:numPr>
              <w:suppressAutoHyphens w:val="true"/>
              <w:spacing w:lineRule="auto" w:line="240" w:before="0" w:after="0"/>
              <w:contextualSpacing/>
              <w:jc w:val="start"/>
              <w:rPr>
                <w:rFonts w:ascii="Times New Roman" w:hAnsi="Times New Roman" w:cs="Times New Roman"/>
              </w:rPr>
            </w:pPr>
            <w:r>
              <w:rPr/>
            </w:r>
            <m:oMath xmlns:m="http://schemas.openxmlformats.org/officeDocument/2006/math">
              <m:sSup>
                <m:e>
                  <m:d>
                    <m:dPr>
                      <m:begChr m:val="("/>
                      <m:endChr m:val=")"/>
                    </m:dPr>
                    <m:e>
                      <m:r>
                        <m:t xml:space="preserve">a</m:t>
                      </m:r>
                      <m:r>
                        <m:t xml:space="preserve">∓</m:t>
                      </m:r>
                      <m:r>
                        <m:t xml:space="preserve">b</m:t>
                      </m:r>
                    </m:e>
                  </m:d>
                </m:e>
                <m:sup>
                  <m:r>
                    <m:t xml:space="preserve">2</m:t>
                  </m:r>
                </m:sup>
              </m:sSup>
              <m:r>
                <m:rPr>
                  <m:lit/>
                  <m:nor/>
                </m:rPr>
                <m:t xml:space="preserve">=</m:t>
              </m:r>
              <m:sSup>
                <m:e>
                  <m:r>
                    <m:t xml:space="preserve">a</m:t>
                  </m:r>
                </m:e>
                <m:sup>
                  <m:r>
                    <m:t xml:space="preserve">2</m:t>
                  </m:r>
                </m:sup>
              </m:sSup>
              <m:r>
                <m:t xml:space="preserve">∓</m:t>
              </m:r>
              <m:r>
                <m:t xml:space="preserve">2</m:t>
              </m:r>
              <m:r>
                <m:t xml:space="preserve">ab</m:t>
              </m:r>
              <m:r>
                <m:rPr>
                  <m:lit/>
                  <m:nor/>
                </m:rPr>
                <m:t xml:space="preserve">+</m:t>
              </m:r>
              <m:sSup>
                <m:e>
                  <m:r>
                    <m:t xml:space="preserve">b</m:t>
                  </m:r>
                </m:e>
                <m:sup>
                  <m:r>
                    <m:t xml:space="preserve">2</m:t>
                  </m:r>
                </m:sup>
              </m:sSup>
            </m:oMath>
            <w:r>
              <w:rPr>
                <w:rFonts w:eastAsia="" w:cs="Times New Roman" w:ascii="Times New Roman" w:hAnsi="Times New Roman" w:eastAsiaTheme="minorEastAsia"/>
                <w:kern w:val="2"/>
                <w:sz w:val="22"/>
                <w:szCs w:val="22"/>
                <w:lang w:val="en-US" w:eastAsia="en-US" w:bidi="ar-SA"/>
              </w:rPr>
              <w:t>;</w:t>
            </w:r>
          </w:p>
          <w:p>
            <w:pPr>
              <w:pStyle w:val="ListParagraph"/>
              <w:widowControl/>
              <w:numPr>
                <w:ilvl w:val="0"/>
                <w:numId w:val="2"/>
              </w:numPr>
              <w:suppressAutoHyphens w:val="true"/>
              <w:spacing w:lineRule="auto" w:line="240" w:before="0" w:after="0"/>
              <w:contextualSpacing/>
              <w:jc w:val="start"/>
              <w:rPr>
                <w:rFonts w:ascii="Times New Roman" w:hAnsi="Times New Roman" w:cs="Times New Roman"/>
              </w:rPr>
            </w:pPr>
            <w:r>
              <w:rPr/>
            </w:r>
            <m:oMath xmlns:m="http://schemas.openxmlformats.org/officeDocument/2006/math">
              <m:d>
                <m:dPr>
                  <m:begChr m:val="("/>
                  <m:endChr m:val=")"/>
                </m:dPr>
                <m:e>
                  <m:r>
                    <m:t xml:space="preserve">a</m:t>
                  </m:r>
                  <m:r>
                    <m:rPr>
                      <m:lit/>
                      <m:nor/>
                    </m:rPr>
                    <m:t xml:space="preserve">+</m:t>
                  </m:r>
                  <m:r>
                    <m:t xml:space="preserve">b</m:t>
                  </m:r>
                </m:e>
              </m:d>
              <m:d>
                <m:dPr>
                  <m:begChr m:val="("/>
                  <m:endChr m:val=")"/>
                </m:dPr>
                <m:e>
                  <m:r>
                    <m:t xml:space="preserve">a</m:t>
                  </m:r>
                  <m:r>
                    <m:rPr>
                      <m:lit/>
                      <m:nor/>
                    </m:rPr>
                    <m:t xml:space="preserve">-</m:t>
                  </m:r>
                  <m:r>
                    <m:t xml:space="preserve">b</m:t>
                  </m:r>
                </m:e>
              </m:d>
              <m:r>
                <m:rPr>
                  <m:lit/>
                  <m:nor/>
                </m:rPr>
                <m:t xml:space="preserve">=</m:t>
              </m:r>
              <m:sSup>
                <m:e>
                  <m:r>
                    <m:t xml:space="preserve">a</m:t>
                  </m:r>
                </m:e>
                <m:sup>
                  <m:r>
                    <m:t xml:space="preserve">2</m:t>
                  </m:r>
                </m:sup>
              </m:sSup>
              <m:r>
                <m:rPr>
                  <m:lit/>
                  <m:nor/>
                </m:rPr>
                <m:t xml:space="preserve">-</m:t>
              </m:r>
              <m:sSup>
                <m:e>
                  <m:r>
                    <m:t xml:space="preserve">b</m:t>
                  </m:r>
                </m:e>
                <m:sup>
                  <m:r>
                    <m:t xml:space="preserve">2</m:t>
                  </m:r>
                </m:sup>
              </m:sSup>
            </m:oMath>
            <w:r>
              <w:rPr>
                <w:rFonts w:eastAsia="Calibri" w:cs="Times New Roman" w:ascii="Times New Roman" w:hAnsi="Times New Roman"/>
                <w:kern w:val="2"/>
                <w:sz w:val="22"/>
                <w:szCs w:val="22"/>
                <w:lang w:val="lt-LT" w:eastAsia="en-US" w:bidi="ar-SA"/>
              </w:rPr>
              <w:t>.</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Moka paprastais atvejais iš kvadratinio trinario išskirti dvinario kvadratą.</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daugianarius skaidyti dauginamaisiais:</w:t>
            </w:r>
          </w:p>
          <w:p>
            <w:pPr>
              <w:pStyle w:val="ListParagraph"/>
              <w:widowControl/>
              <w:numPr>
                <w:ilvl w:val="0"/>
                <w:numId w:val="2"/>
              </w:numPr>
              <w:suppressAutoHyphens w:val="true"/>
              <w:spacing w:lineRule="auto" w:line="240" w:before="0" w:after="0"/>
              <w:contextualSpacing/>
              <w:jc w:val="start"/>
              <w:rPr>
                <w:rFonts w:ascii="Times New Roman" w:hAnsi="Times New Roman" w:cs="Times New Roman"/>
              </w:rPr>
            </w:pPr>
            <w:r>
              <w:rPr>
                <w:rFonts w:eastAsia="Calibri" w:cs="Times New Roman" w:ascii="Times New Roman" w:hAnsi="Times New Roman"/>
                <w:kern w:val="2"/>
                <w:sz w:val="22"/>
                <w:szCs w:val="22"/>
                <w:lang w:val="lt-LT" w:eastAsia="en-US" w:bidi="ar-SA"/>
              </w:rPr>
              <w:t>bendrą dauginamąjį iškeliant prieš skliaustus;</w:t>
            </w:r>
          </w:p>
          <w:p>
            <w:pPr>
              <w:pStyle w:val="ListParagraph"/>
              <w:widowControl/>
              <w:numPr>
                <w:ilvl w:val="0"/>
                <w:numId w:val="2"/>
              </w:numPr>
              <w:suppressAutoHyphens w:val="true"/>
              <w:spacing w:lineRule="auto" w:line="240" w:before="0" w:after="0"/>
              <w:contextualSpacing/>
              <w:jc w:val="start"/>
              <w:rPr>
                <w:rFonts w:ascii="Times New Roman" w:hAnsi="Times New Roman" w:cs="Times New Roman"/>
              </w:rPr>
            </w:pPr>
            <w:r>
              <w:rPr>
                <w:rFonts w:eastAsia="Calibri" w:cs="Times New Roman" w:ascii="Times New Roman" w:hAnsi="Times New Roman"/>
                <w:kern w:val="2"/>
                <w:sz w:val="22"/>
                <w:szCs w:val="22"/>
                <w:lang w:val="lt-LT" w:eastAsia="en-US" w:bidi="ar-SA"/>
              </w:rPr>
              <w:t>taikant greitosios daugybos formules;</w:t>
            </w:r>
          </w:p>
          <w:p>
            <w:pPr>
              <w:pStyle w:val="ListParagraph"/>
              <w:widowControl/>
              <w:numPr>
                <w:ilvl w:val="0"/>
                <w:numId w:val="2"/>
              </w:numPr>
              <w:suppressAutoHyphens w:val="true"/>
              <w:spacing w:lineRule="auto" w:line="240" w:before="0" w:after="0"/>
              <w:contextualSpacing/>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grupavimo būdu.</w:t>
            </w:r>
          </w:p>
          <w:p>
            <w:pPr>
              <w:pStyle w:val="ListParagraph"/>
              <w:widowControl/>
              <w:suppressAutoHyphens w:val="true"/>
              <w:spacing w:lineRule="auto" w:line="240" w:before="0" w:after="0"/>
              <w:ind w:start="780"/>
              <w:contextualSpacing/>
              <w:jc w:val="start"/>
              <w:rPr>
                <w:rFonts w:ascii="Times New Roman" w:hAnsi="Times New Roman" w:eastAsia="Calibri" w:cs="Times New Roman"/>
                <w:color w:val="C9211E"/>
              </w:rPr>
            </w:pPr>
            <w:r>
              <w:rPr>
                <w:rFonts w:eastAsia="Calibri" w:cs="Times New Roman" w:ascii="Times New Roman" w:hAnsi="Times New Roman"/>
                <w:color w:val="C9211E"/>
              </w:rPr>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eastAsia="Calibri" w:cs="Times New Roman"/>
                <w:i/>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Pprisiminti laipsnių savybes;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daug dėmesio skirti formulių taikymui.</w:t>
            </w:r>
          </w:p>
        </w:tc>
      </w:tr>
      <w:tr>
        <w:trPr/>
        <w:tc>
          <w:tcPr>
            <w:tcW w:w="2545" w:type="dxa"/>
            <w:tcBorders/>
          </w:tcPr>
          <w:p>
            <w:pPr>
              <w:pStyle w:val="Normal"/>
              <w:widowControl/>
              <w:suppressAutoHyphens w:val="true"/>
              <w:spacing w:before="0" w:after="0"/>
              <w:jc w:val="start"/>
              <w:rPr>
                <w:color w:val="000000"/>
              </w:rPr>
            </w:pPr>
            <w:r>
              <w:rPr>
                <w:rFonts w:eastAsia="NSimSun" w:cs="Times New Roman" w:ascii="Times New Roman" w:hAnsi="Times New Roman"/>
                <w:b/>
                <w:bCs/>
                <w:color w:val="000000"/>
                <w:kern w:val="2"/>
                <w:sz w:val="22"/>
                <w:szCs w:val="22"/>
                <w:lang w:val="lt-LT" w:eastAsia="zh-CN" w:bidi="hi-IN"/>
              </w:rPr>
              <w:t>4N. KVADRATINĖS LYGTYS</w:t>
            </w:r>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lt-LT" w:eastAsia="zh-CN" w:bidi="hi-IN"/>
              </w:rPr>
              <w:t xml:space="preserve">1. Lygtis </w:t>
            </w:r>
            <w:r>
              <w:rPr/>
            </w:r>
            <m:oMath xmlns:m="http://schemas.openxmlformats.org/officeDocument/2006/math">
              <m:d>
                <m:dPr>
                  <m:begChr m:val="("/>
                  <m:endChr m:val=")"/>
                </m:dPr>
                <m:e>
                  <m:r>
                    <m:t xml:space="preserve">ax</m:t>
                  </m:r>
                  <m:r>
                    <m:rPr>
                      <m:lit/>
                      <m:nor/>
                    </m:rPr>
                    <m:t xml:space="preserve">+</m:t>
                  </m:r>
                  <m:r>
                    <m:t xml:space="preserve">b</m:t>
                  </m:r>
                </m:e>
              </m:d>
              <m:d>
                <m:dPr>
                  <m:begChr m:val="("/>
                  <m:endChr m:val=")"/>
                </m:dPr>
                <m:e>
                  <m:r>
                    <m:t xml:space="preserve">cx</m:t>
                  </m:r>
                  <m:r>
                    <m:rPr>
                      <m:lit/>
                      <m:nor/>
                    </m:rPr>
                    <m:t xml:space="preserve">+</m:t>
                  </m:r>
                  <m:r>
                    <m:t xml:space="preserve">d</m:t>
                  </m:r>
                </m:e>
              </m:d>
              <m:r>
                <m:rPr>
                  <m:lit/>
                  <m:nor/>
                </m:rPr>
                <m:t xml:space="preserve">=</m:t>
              </m:r>
              <m:r>
                <m:t xml:space="preserve">0</m:t>
              </m:r>
            </m:oMath>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en-US" w:eastAsia="zh-CN" w:bidi="hi-IN"/>
              </w:rPr>
              <w:t>2. Kvadratinė lygtis</w:t>
            </w:r>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en-US" w:eastAsia="zh-CN" w:bidi="hi-IN"/>
              </w:rPr>
              <w:t xml:space="preserve">3. Lygtis </w:t>
            </w:r>
            <w:r>
              <w:rPr/>
            </w:r>
            <m:oMath xmlns:m="http://schemas.openxmlformats.org/officeDocument/2006/math">
              <m:r>
                <m:t xml:space="preserve">a</m:t>
              </m:r>
              <m:sSup>
                <m:e>
                  <m:r>
                    <m:t xml:space="preserve">x</m:t>
                  </m:r>
                </m:e>
                <m:sup>
                  <m:r>
                    <m:t xml:space="preserve">2</m:t>
                  </m:r>
                </m:sup>
              </m:sSup>
              <m:r>
                <m:rPr>
                  <m:lit/>
                  <m:nor/>
                </m:rPr>
                <m:t xml:space="preserve">+</m:t>
              </m:r>
              <m:r>
                <m:t xml:space="preserve">bx</m:t>
              </m:r>
              <m:r>
                <m:rPr>
                  <m:lit/>
                  <m:nor/>
                </m:rPr>
                <m:t xml:space="preserve">=</m:t>
              </m:r>
              <m:r>
                <m:t xml:space="preserve">0</m:t>
              </m:r>
            </m:oMath>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en-US" w:eastAsia="zh-CN" w:bidi="hi-IN"/>
              </w:rPr>
              <w:t xml:space="preserve">4. Lygtis </w:t>
            </w:r>
            <w:r>
              <w:rPr/>
            </w:r>
            <m:oMath xmlns:m="http://schemas.openxmlformats.org/officeDocument/2006/math">
              <m:r>
                <m:t xml:space="preserve">a</m:t>
              </m:r>
              <m:sSup>
                <m:e>
                  <m:r>
                    <m:t xml:space="preserve">x</m:t>
                  </m:r>
                </m:e>
                <m:sup>
                  <m:r>
                    <m:t xml:space="preserve">2</m:t>
                  </m:r>
                </m:sup>
              </m:sSup>
              <m:r>
                <m:rPr>
                  <m:lit/>
                  <m:nor/>
                </m:rPr>
                <m:t xml:space="preserve">+</m:t>
              </m:r>
              <m:r>
                <m:t xml:space="preserve">c</m:t>
              </m:r>
              <m:r>
                <m:rPr>
                  <m:lit/>
                  <m:nor/>
                </m:rPr>
                <m:t xml:space="preserve">=</m:t>
              </m:r>
              <m:r>
                <m:t xml:space="preserve">0</m:t>
              </m:r>
            </m:oMath>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en-US" w:eastAsia="zh-CN" w:bidi="hi-IN"/>
              </w:rPr>
              <w:t>5. Tekstiniai u</w:t>
            </w:r>
            <w:r>
              <w:rPr>
                <w:rFonts w:eastAsia="NSimSun" w:cs="Times New Roman" w:ascii="Times New Roman" w:hAnsi="Times New Roman"/>
                <w:color w:val="000000"/>
                <w:kern w:val="2"/>
                <w:sz w:val="22"/>
                <w:szCs w:val="22"/>
                <w:lang w:val="lt-LT" w:eastAsia="zh-CN" w:bidi="hi-IN"/>
              </w:rPr>
              <w:t>ždaviniai</w:t>
            </w:r>
          </w:p>
        </w:tc>
        <w:tc>
          <w:tcPr>
            <w:tcW w:w="1134" w:type="dxa"/>
            <w:tcBorders/>
          </w:tcPr>
          <w:p>
            <w:pPr>
              <w:pStyle w:val="Normal"/>
              <w:widowControl/>
              <w:suppressAutoHyphens w:val="true"/>
              <w:spacing w:lineRule="auto" w:line="240" w:before="0" w:after="0"/>
              <w:jc w:val="both"/>
              <w:rPr>
                <w:color w:val="000000"/>
              </w:rPr>
            </w:pPr>
            <w:r>
              <w:rPr>
                <w:rFonts w:eastAsia="Calibri" w:cs="Times New Roman" w:ascii="Times New Roman" w:hAnsi="Times New Roman"/>
                <w:color w:val="000000"/>
                <w:kern w:val="2"/>
                <w:sz w:val="24"/>
                <w:szCs w:val="24"/>
                <w:lang w:val="lt-LT" w:eastAsia="en-US" w:bidi="ar-SA"/>
              </w:rPr>
              <w:t>7</w:t>
            </w:r>
          </w:p>
        </w:tc>
        <w:tc>
          <w:tcPr>
            <w:tcW w:w="4963"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2"/>
                <w:szCs w:val="22"/>
                <w:lang w:val="lt-LT" w:eastAsia="en-US" w:bidi="ar-SA"/>
              </w:rPr>
              <w:t xml:space="preserve">Žino, kas yra antro laipsnio (kvadratinė) lygtis su vienu nežinomuoju ir jos sprendinys. Moka spręsti nepilnas kvadratines lygtis </w:t>
            </w:r>
            <w:r>
              <w:rPr/>
            </w:r>
            <m:oMath xmlns:m="http://schemas.openxmlformats.org/officeDocument/2006/math">
              <m:r>
                <m:t xml:space="preserve">a</m:t>
              </m:r>
              <m:sSup>
                <m:e>
                  <m:r>
                    <m:t xml:space="preserve">x</m:t>
                  </m:r>
                </m:e>
                <m:sup>
                  <m:r>
                    <m:t xml:space="preserve">2</m:t>
                  </m:r>
                </m:sup>
              </m:sSup>
              <m:r>
                <m:rPr>
                  <m:lit/>
                  <m:nor/>
                </m:rPr>
                <m:t xml:space="preserve">+</m:t>
              </m:r>
              <m:r>
                <m:t xml:space="preserve">bx</m:t>
              </m:r>
              <m:r>
                <m:rPr>
                  <m:lit/>
                  <m:nor/>
                </m:rPr>
                <m:t xml:space="preserve">=</m:t>
              </m:r>
              <m:r>
                <m:t xml:space="preserve">0</m:t>
              </m:r>
            </m:oMath>
            <w:r>
              <w:rPr>
                <w:rFonts w:eastAsia="Calibri" w:cs="Times New Roman" w:ascii="Times New Roman" w:hAnsi="Times New Roman"/>
                <w:color w:val="000000"/>
                <w:kern w:val="2"/>
                <w:sz w:val="22"/>
                <w:szCs w:val="22"/>
                <w:lang w:val="lt-LT" w:eastAsia="en-US" w:bidi="ar-SA"/>
              </w:rPr>
              <w:t xml:space="preserve">, reiškinį </w:t>
            </w:r>
            <w:r>
              <w:rPr/>
            </w:r>
            <m:oMath xmlns:m="http://schemas.openxmlformats.org/officeDocument/2006/math">
              <m:r>
                <m:t xml:space="preserve">a</m:t>
              </m:r>
              <m:sSup>
                <m:e>
                  <m:r>
                    <m:t xml:space="preserve">x</m:t>
                  </m:r>
                </m:e>
                <m:sup>
                  <m:r>
                    <m:t xml:space="preserve">2</m:t>
                  </m:r>
                </m:sup>
              </m:sSup>
              <m:r>
                <m:rPr>
                  <m:lit/>
                  <m:nor/>
                </m:rPr>
                <m:t xml:space="preserve">+</m:t>
              </m:r>
              <m:r>
                <m:t xml:space="preserve">bx</m:t>
              </m:r>
            </m:oMath>
            <w:r>
              <w:rPr>
                <w:rFonts w:eastAsia="Calibri" w:cs="Times New Roman" w:ascii="Times New Roman" w:hAnsi="Times New Roman"/>
                <w:color w:val="000000"/>
                <w:kern w:val="2"/>
                <w:sz w:val="22"/>
                <w:szCs w:val="22"/>
                <w:lang w:val="lt-LT" w:eastAsia="en-US" w:bidi="ar-SA"/>
              </w:rPr>
              <w:t xml:space="preserve"> skaidant tiesiniais dauginamaisiais, ir </w:t>
            </w:r>
            <w:r>
              <w:rPr/>
            </w:r>
            <m:oMath xmlns:m="http://schemas.openxmlformats.org/officeDocument/2006/math">
              <m:r>
                <m:t xml:space="preserve">a</m:t>
              </m:r>
              <m:sSup>
                <m:e>
                  <m:r>
                    <m:t xml:space="preserve">x</m:t>
                  </m:r>
                </m:e>
                <m:sup>
                  <m:r>
                    <m:t xml:space="preserve">2</m:t>
                  </m:r>
                </m:sup>
              </m:sSup>
              <m:r>
                <m:rPr>
                  <m:lit/>
                  <m:nor/>
                </m:rPr>
                <m:t xml:space="preserve">+</m:t>
              </m:r>
              <m:r>
                <m:t xml:space="preserve">c</m:t>
              </m:r>
              <m:r>
                <m:rPr>
                  <m:lit/>
                  <m:nor/>
                </m:rPr>
                <m:t xml:space="preserve">=</m:t>
              </m:r>
              <m:r>
                <m:t xml:space="preserve">0</m:t>
              </m:r>
            </m:oMath>
            <w:r>
              <w:rPr>
                <w:rFonts w:eastAsia="Calibri" w:cs="Times New Roman" w:ascii="Times New Roman" w:hAnsi="Times New Roman"/>
                <w:color w:val="000000"/>
                <w:kern w:val="2"/>
                <w:sz w:val="22"/>
                <w:szCs w:val="22"/>
                <w:lang w:val="lt-LT" w:eastAsia="en-US" w:bidi="ar-SA"/>
              </w:rPr>
              <w:t xml:space="preserve">, reiškinį </w:t>
            </w:r>
            <w:r>
              <w:rPr/>
            </w:r>
            <m:oMath xmlns:m="http://schemas.openxmlformats.org/officeDocument/2006/math">
              <m:r>
                <m:t xml:space="preserve">a</m:t>
              </m:r>
              <m:sSup>
                <m:e>
                  <m:r>
                    <m:t xml:space="preserve">x</m:t>
                  </m:r>
                </m:e>
                <m:sup>
                  <m:r>
                    <m:t xml:space="preserve">2</m:t>
                  </m:r>
                </m:sup>
              </m:sSup>
              <m:r>
                <m:rPr>
                  <m:lit/>
                  <m:nor/>
                </m:rPr>
                <m:t xml:space="preserve">+</m:t>
              </m:r>
              <m:r>
                <m:t xml:space="preserve">c</m:t>
              </m:r>
            </m:oMath>
            <w:r>
              <w:rPr>
                <w:rFonts w:eastAsia="Calibri" w:cs="Times New Roman" w:ascii="Times New Roman" w:hAnsi="Times New Roman"/>
                <w:color w:val="000000"/>
                <w:kern w:val="2"/>
                <w:sz w:val="22"/>
                <w:szCs w:val="22"/>
                <w:lang w:val="lt-LT" w:eastAsia="en-US" w:bidi="ar-SA"/>
              </w:rPr>
              <w:t xml:space="preserve"> skaidant tiesiniais dauginamaisiais, bei lygčiai suteikiant pavidalą </w:t>
            </w:r>
            <w:r>
              <w:rPr/>
            </w:r>
            <m:oMath xmlns:m="http://schemas.openxmlformats.org/officeDocument/2006/math">
              <m:sSup>
                <m:e>
                  <m:r>
                    <m:t xml:space="preserve">x</m:t>
                  </m:r>
                </m:e>
                <m:sup>
                  <m:r>
                    <m:t xml:space="preserve">2</m:t>
                  </m:r>
                </m:sup>
              </m:sSup>
              <m:r>
                <m:rPr>
                  <m:lit/>
                  <m:nor/>
                </m:rPr>
                <m:t xml:space="preserve">=</m:t>
              </m:r>
              <m:r>
                <m:t xml:space="preserve">d</m:t>
              </m:r>
            </m:oMath>
            <w:r>
              <w:rPr>
                <w:rFonts w:eastAsia="Calibri" w:cs="Times New Roman" w:ascii="Times New Roman" w:hAnsi="Times New Roman"/>
                <w:color w:val="000000"/>
                <w:kern w:val="2"/>
                <w:sz w:val="22"/>
                <w:szCs w:val="22"/>
                <w:lang w:val="en-US" w:eastAsia="en-US" w:bidi="ar-SA"/>
              </w:rPr>
              <w:t>. Geba spr</w:t>
            </w:r>
            <w:r>
              <w:rPr>
                <w:rFonts w:eastAsia="Calibri" w:cs="Times New Roman" w:ascii="Times New Roman" w:hAnsi="Times New Roman"/>
                <w:color w:val="000000"/>
                <w:kern w:val="2"/>
                <w:sz w:val="22"/>
                <w:szCs w:val="22"/>
                <w:lang w:val="lt-LT" w:eastAsia="en-US" w:bidi="ar-SA"/>
              </w:rPr>
              <w:t>ęsti įvairaus konteksto uždavinius, sudarant nepilnas kvadratines lygtis.</w:t>
            </w:r>
          </w:p>
        </w:tc>
        <w:tc>
          <w:tcPr>
            <w:tcW w:w="2516"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i/>
                <w:color w:val="000000"/>
                <w:kern w:val="2"/>
                <w:sz w:val="22"/>
                <w:szCs w:val="22"/>
                <w:lang w:val="lt-LT" w:eastAsia="en-US" w:bidi="ar-SA"/>
              </w:rPr>
              <w:t xml:space="preserve">Kompetencijos: </w:t>
            </w:r>
          </w:p>
          <w:p>
            <w:pPr>
              <w:pStyle w:val="Normal"/>
              <w:widowControl/>
              <w:suppressAutoHyphens w:val="true"/>
              <w:spacing w:lineRule="auto" w:line="240" w:before="0" w:after="160"/>
              <w:jc w:val="start"/>
              <w:rPr>
                <w:color w:val="000000"/>
              </w:rPr>
            </w:pPr>
            <w:r>
              <w:rPr>
                <w:rFonts w:eastAsia="Calibri" w:cs="Times New Roman" w:ascii="Times New Roman" w:hAnsi="Times New Roman"/>
                <w:iCs/>
                <w:color w:val="000000"/>
                <w:kern w:val="2"/>
                <w:sz w:val="22"/>
                <w:szCs w:val="22"/>
                <w:lang w:val="lt-LT" w:eastAsia="en-US" w:bidi="ar-SA"/>
              </w:rPr>
              <w:t xml:space="preserve">K1, K2, K3  </w:t>
            </w:r>
          </w:p>
          <w:p>
            <w:pPr>
              <w:pStyle w:val="Normal"/>
              <w:widowControl/>
              <w:suppressAutoHyphens w:val="true"/>
              <w:spacing w:lineRule="auto" w:line="240" w:before="0" w:after="0"/>
              <w:jc w:val="start"/>
              <w:rPr>
                <w:color w:val="000000"/>
              </w:rPr>
            </w:pPr>
            <w:r>
              <w:rPr>
                <w:rFonts w:eastAsia="Calibri" w:cs="Times New Roman" w:ascii="Times New Roman" w:hAnsi="Times New Roman"/>
                <w:i/>
                <w:color w:val="000000"/>
                <w:kern w:val="2"/>
                <w:sz w:val="22"/>
                <w:szCs w:val="22"/>
                <w:lang w:val="lt-LT" w:eastAsia="en-US" w:bidi="ar-SA"/>
              </w:rPr>
              <w:t>Matematikos pasiekimai:</w:t>
            </w:r>
          </w:p>
          <w:p>
            <w:pPr>
              <w:pStyle w:val="Normal"/>
              <w:widowControl/>
              <w:suppressAutoHyphens w:val="true"/>
              <w:spacing w:lineRule="auto" w:line="240" w:before="0" w:after="0"/>
              <w:jc w:val="start"/>
              <w:rPr>
                <w:color w:val="000000"/>
              </w:rPr>
            </w:pPr>
            <w:r>
              <w:rPr>
                <w:rFonts w:eastAsia="Calibri" w:cs="Times New Roman" w:ascii="Times New Roman" w:hAnsi="Times New Roman"/>
                <w:iCs/>
                <w:color w:val="000000"/>
                <w:kern w:val="2"/>
                <w:sz w:val="22"/>
                <w:szCs w:val="22"/>
                <w:lang w:val="lt-LT" w:eastAsia="en-US" w:bidi="ar-SA"/>
              </w:rPr>
              <w:t>A1,  A4</w:t>
            </w:r>
          </w:p>
          <w:p>
            <w:pPr>
              <w:pStyle w:val="Normal"/>
              <w:widowControl/>
              <w:suppressAutoHyphens w:val="true"/>
              <w:spacing w:lineRule="auto" w:line="240" w:before="0" w:after="0"/>
              <w:jc w:val="start"/>
              <w:rPr>
                <w:color w:val="000000"/>
              </w:rPr>
            </w:pPr>
            <w:r>
              <w:rPr>
                <w:rFonts w:eastAsia="Calibri" w:cs="Times New Roman" w:ascii="Times New Roman" w:hAnsi="Times New Roman"/>
                <w:iCs/>
                <w:color w:val="000000"/>
                <w:kern w:val="2"/>
                <w:sz w:val="22"/>
                <w:szCs w:val="22"/>
                <w:lang w:val="lt-LT" w:eastAsia="en-US" w:bidi="ar-SA"/>
              </w:rPr>
              <w:t>B1,  B3</w:t>
            </w:r>
          </w:p>
          <w:p>
            <w:pPr>
              <w:pStyle w:val="Normal"/>
              <w:widowControl/>
              <w:suppressAutoHyphens w:val="true"/>
              <w:spacing w:lineRule="auto" w:line="240" w:before="0" w:after="0"/>
              <w:jc w:val="start"/>
              <w:rPr>
                <w:color w:val="000000"/>
              </w:rPr>
            </w:pPr>
            <w:r>
              <w:rPr>
                <w:rFonts w:eastAsia="Calibri" w:cs="Times New Roman" w:ascii="Times New Roman" w:hAnsi="Times New Roman"/>
                <w:iCs/>
                <w:color w:val="000000"/>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1</w:t>
            </w:r>
            <w:r>
              <w:rPr>
                <w:rFonts w:eastAsia="Calibri" w:cs="Times New Roman" w:ascii="Times New Roman" w:hAnsi="Times New Roman"/>
                <w:color w:val="000000"/>
                <w:kern w:val="2"/>
                <w:sz w:val="22"/>
                <w:szCs w:val="22"/>
                <w:lang w:val="lt-LT" w:eastAsia="en-US" w:bidi="ar-SA"/>
              </w:rPr>
              <w:t>: imti medžiagą iš „Matematika Tau +, 8 kl.“ 1 dalis, psl. 104 ir 105.</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2</w:t>
            </w:r>
            <w:r>
              <w:rPr>
                <w:rFonts w:eastAsia="Calibri" w:cs="Times New Roman" w:ascii="Times New Roman" w:hAnsi="Times New Roman"/>
                <w:color w:val="000000"/>
                <w:kern w:val="2"/>
                <w:sz w:val="22"/>
                <w:szCs w:val="22"/>
                <w:lang w:val="lt-LT" w:eastAsia="en-US" w:bidi="ar-SA"/>
              </w:rPr>
              <w:t>: imti medžiagą iš „Matematika Tau +, 9 kl.“ 2 dalis, psl. 6 ir 7.</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3</w:t>
            </w:r>
            <w:r>
              <w:rPr>
                <w:rFonts w:eastAsia="Calibri" w:cs="Times New Roman" w:ascii="Times New Roman" w:hAnsi="Times New Roman"/>
                <w:color w:val="000000"/>
                <w:kern w:val="2"/>
                <w:sz w:val="22"/>
                <w:szCs w:val="22"/>
                <w:lang w:val="lt-LT" w:eastAsia="en-US" w:bidi="ar-SA"/>
              </w:rPr>
              <w:t>: imti medžiagą iš „Matematika Tau +, 9 kl.“ 2 dalis, psl. 8 ir 9.</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4</w:t>
            </w:r>
            <w:r>
              <w:rPr>
                <w:rFonts w:eastAsia="Calibri" w:cs="Times New Roman" w:ascii="Times New Roman" w:hAnsi="Times New Roman"/>
                <w:color w:val="000000"/>
                <w:kern w:val="2"/>
                <w:sz w:val="22"/>
                <w:szCs w:val="22"/>
                <w:lang w:val="lt-LT" w:eastAsia="en-US" w:bidi="ar-SA"/>
              </w:rPr>
              <w:t>: imti medžiagą iš „Matematika Tau +, 9 kl.“ 2 dalis, psl. 10 – 13.</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5</w:t>
            </w:r>
            <w:r>
              <w:rPr>
                <w:rFonts w:eastAsia="Calibri" w:cs="Times New Roman" w:ascii="Times New Roman" w:hAnsi="Times New Roman"/>
                <w:color w:val="000000"/>
                <w:kern w:val="2"/>
                <w:sz w:val="22"/>
                <w:szCs w:val="22"/>
                <w:lang w:val="lt-LT" w:eastAsia="en-US" w:bidi="ar-SA"/>
              </w:rPr>
              <w:t xml:space="preserve">: uždavinius imti iš „Matematika Tau +, 9 kl.“ 2 dalis, psl. 13 </w:t>
            </w:r>
            <w:r>
              <w:rPr>
                <w:rFonts w:eastAsia="Calibri" w:cs="Times New Roman" w:ascii="Times New Roman" w:hAnsi="Times New Roman"/>
                <w:color w:val="000000"/>
                <w:kern w:val="2"/>
                <w:sz w:val="22"/>
                <w:szCs w:val="22"/>
                <w:lang w:val="en-US" w:eastAsia="en-US" w:bidi="ar-SA"/>
              </w:rPr>
              <w:t>(</w:t>
            </w:r>
            <w:r>
              <w:rPr>
                <w:rFonts w:eastAsia="Calibri" w:cs="Times New Roman" w:ascii="Times New Roman" w:hAnsi="Times New Roman"/>
                <w:color w:val="000000"/>
                <w:kern w:val="2"/>
                <w:sz w:val="22"/>
                <w:szCs w:val="22"/>
                <w:lang w:val="lt-LT" w:eastAsia="en-US" w:bidi="ar-SA"/>
              </w:rPr>
              <w:t>nr. 21, 22, 23), psl. 21 (nr. 39), psl. 24 (nr. 50, 51, 53).</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Apibendrinimui</w:t>
            </w:r>
            <w:r>
              <w:rPr>
                <w:rFonts w:eastAsia="Calibri" w:cs="Times New Roman" w:ascii="Times New Roman" w:hAnsi="Times New Roman"/>
                <w:color w:val="000000"/>
                <w:kern w:val="2"/>
                <w:sz w:val="22"/>
                <w:szCs w:val="22"/>
                <w:lang w:val="lt-LT" w:eastAsia="en-US" w:bidi="ar-SA"/>
              </w:rPr>
              <w:t>: imti medžiagą iš „Matematika Tau +, 9 kl.“ 2 dalis, psl. 22.</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Kartojimui</w:t>
            </w:r>
            <w:r>
              <w:rPr>
                <w:rFonts w:eastAsia="Calibri" w:cs="Times New Roman" w:ascii="Times New Roman" w:hAnsi="Times New Roman"/>
                <w:color w:val="000000"/>
                <w:kern w:val="2"/>
                <w:sz w:val="22"/>
                <w:szCs w:val="22"/>
                <w:lang w:val="lt-LT" w:eastAsia="en-US" w:bidi="ar-SA"/>
              </w:rPr>
              <w:t>: imti uždavinius iš „Matematika Tau +, 9 kl.“ 2 dalis, psl. 36, nr. 75, 76, 78.</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Pasitikrinimui</w:t>
            </w:r>
            <w:r>
              <w:rPr>
                <w:rFonts w:eastAsia="Calibri" w:cs="Times New Roman" w:ascii="Times New Roman" w:hAnsi="Times New Roman"/>
                <w:color w:val="000000"/>
                <w:kern w:val="2"/>
                <w:sz w:val="22"/>
                <w:szCs w:val="22"/>
                <w:lang w:val="lt-LT" w:eastAsia="en-US" w:bidi="ar-SA"/>
              </w:rPr>
              <w:t>: imti uždavinius iš „Matematika Tau +, 9 kl.“ 2 dalis, psl. 34, nr. 68a)-c), 69, 70, 71a)-c).</w:t>
            </w:r>
          </w:p>
          <w:p>
            <w:pPr>
              <w:pStyle w:val="Normal"/>
              <w:widowControl/>
              <w:suppressAutoHyphens w:val="true"/>
              <w:spacing w:lineRule="auto" w:line="240" w:before="0" w:after="0"/>
              <w:jc w:val="start"/>
              <w:rPr>
                <w:rFonts w:ascii="Times New Roman" w:hAnsi="Times New Roman" w:eastAsia="Calibri" w:cs="Times New Roman"/>
                <w:color w:val="000000"/>
              </w:rPr>
            </w:pPr>
            <w:r>
              <w:rPr>
                <w:rFonts w:eastAsia="Calibri" w:cs="Times New Roman" w:ascii="Times New Roman" w:hAnsi="Times New Roman"/>
                <w:color w:val="000000"/>
              </w:rPr>
            </w:r>
          </w:p>
        </w:tc>
      </w:tr>
      <w:tr>
        <w:trPr/>
        <w:tc>
          <w:tcPr>
            <w:tcW w:w="2545" w:type="dxa"/>
            <w:tcBorders/>
          </w:tcPr>
          <w:p>
            <w:pPr>
              <w:pStyle w:val="Normal"/>
              <w:widowControl/>
              <w:suppressAutoHyphens w:val="true"/>
              <w:spacing w:before="0" w:after="0"/>
              <w:jc w:val="start"/>
              <w:rPr>
                <w:rFonts w:ascii="Times New Roman" w:hAnsi="Times New Roman" w:eastAsia="NSimSun" w:cs="Times New Roman"/>
                <w:b/>
                <w:bCs/>
                <w:color w:val="009900"/>
                <w:lang w:eastAsia="zh-CN" w:bidi="hi-IN"/>
              </w:rPr>
            </w:pPr>
            <w:r>
              <w:rPr>
                <w:rFonts w:eastAsia="NSimSun" w:cs="Times New Roman" w:ascii="Times New Roman" w:hAnsi="Times New Roman"/>
                <w:b/>
                <w:bCs/>
                <w:color w:val="009900"/>
                <w:kern w:val="2"/>
                <w:sz w:val="22"/>
                <w:szCs w:val="22"/>
                <w:lang w:val="lt-LT" w:eastAsia="zh-CN" w:bidi="hi-IN"/>
              </w:rPr>
              <w:t>5. TIESINIŲ LYGČIŲ SISTEMOS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5.1. Tiesinė lygtis su dviem nežinomaisiais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5.2. Tiesinės lygties su dviem nežinomaisiais grafikas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5.3. Tiesinių lygčių su dviem nežinomaisiais sistema</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5.4. Tiesinių lygčių sistemos sprendinių skaičius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5.5. Sprendžiame tiesinių lygčių sistemas keitimo būdu</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5.6. Sprendžiame tiesinių lygčių sistemas sulyginimo būdu</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5.7. Sprendžiame tiesinių lygčių sistemas sudėties būdu</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5.8. Judėjimo uždaviniai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5.9. Įvairūs tekstiniai uždaviniai </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14</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Geba apibrėžti sąvokas: lygtis su dviem nežinomaisiais, lygties su dviem nežinomaisiais sprendinys (skaičių pora). Moka vieną nežinomąjį išreikšti kitu. Geba sudaryti tiesinės lygties sprendinių lentelę ir moka tiesinės lygties </w:t>
            </w:r>
            <w:r>
              <w:rPr>
                <w:rFonts w:eastAsia="Calibri" w:cs="Times New Roman" w:ascii="Times New Roman" w:hAnsi="Times New Roman"/>
                <w:i/>
                <w:iCs/>
                <w:kern w:val="2"/>
                <w:sz w:val="22"/>
                <w:szCs w:val="22"/>
                <w:lang w:val="lt-LT" w:eastAsia="en-US" w:bidi="ar-SA"/>
              </w:rPr>
              <w:t>ax</w:t>
            </w:r>
            <w:r>
              <w:rPr>
                <w:rFonts w:eastAsia="Calibri" w:cs="Times New Roman" w:ascii="Times New Roman" w:hAnsi="Times New Roman"/>
                <w:kern w:val="2"/>
                <w:sz w:val="22"/>
                <w:szCs w:val="22"/>
                <w:lang w:val="lt-LT" w:eastAsia="en-US" w:bidi="ar-SA"/>
              </w:rPr>
              <w:t xml:space="preserve"> + </w:t>
            </w:r>
            <w:r>
              <w:rPr>
                <w:rFonts w:eastAsia="Calibri" w:cs="Times New Roman" w:ascii="Times New Roman" w:hAnsi="Times New Roman"/>
                <w:i/>
                <w:iCs/>
                <w:kern w:val="2"/>
                <w:sz w:val="22"/>
                <w:szCs w:val="22"/>
                <w:lang w:val="lt-LT" w:eastAsia="en-US" w:bidi="ar-SA"/>
              </w:rPr>
              <w:t>by</w:t>
            </w:r>
            <w:r>
              <w:rPr>
                <w:rFonts w:eastAsia="Calibri" w:cs="Times New Roman" w:ascii="Times New Roman" w:hAnsi="Times New Roman"/>
                <w:kern w:val="2"/>
                <w:sz w:val="22"/>
                <w:szCs w:val="22"/>
                <w:lang w:val="lt-LT" w:eastAsia="en-US" w:bidi="ar-SA"/>
              </w:rPr>
              <w:t xml:space="preserve"> = </w:t>
            </w:r>
            <w:r>
              <w:rPr>
                <w:rFonts w:eastAsia="Calibri" w:cs="Times New Roman" w:ascii="Times New Roman" w:hAnsi="Times New Roman"/>
                <w:i/>
                <w:iCs/>
                <w:kern w:val="2"/>
                <w:sz w:val="22"/>
                <w:szCs w:val="22"/>
                <w:lang w:val="lt-LT" w:eastAsia="en-US" w:bidi="ar-SA"/>
              </w:rPr>
              <w:t>c</w:t>
            </w:r>
            <w:r>
              <w:rPr>
                <w:rFonts w:eastAsia="Calibri" w:cs="Times New Roman" w:ascii="Times New Roman" w:hAnsi="Times New Roman"/>
                <w:kern w:val="2"/>
                <w:sz w:val="22"/>
                <w:szCs w:val="22"/>
                <w:lang w:val="lt-LT" w:eastAsia="en-US" w:bidi="ar-SA"/>
              </w:rPr>
              <w:t xml:space="preserve"> sprendinius pavaizduoti grafiškai (taikant ir skaitmenines priemones).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Žino sąvokas: tiesinių lygčių sistema, tiesinių lygčių sistemos sprendinys. Geba nustatyti, ar skaičių pora yra duotosios lygčių sistemos sprendinys. Moka spręsti tiesinių lygčių sistemas grafiniu, keitimo, sudėties, sulyginimo būdais. Geba nustatyti, kiek sprendinių gali turėti lygčių sistema. Žino, kaip užrašyti lygčių sistemos sprendinius, kai lygčių sistema turi be galo daug sprendinių. Nagrinėjant įvairias realaus pasaulio situacijas (sprendžiant tekstinius uždavinius), pagal uždavinio sąlygą geba sudaryti lygčių sistemas ir atsakyti į užduotyje iškeltus klausimus (atrinkti tinkamus sprendinius).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B2,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Rekomenduojama naudojant IKT (Plotter, Desmos, GeoGebra, ...) pavaizduoti lygties su dviem nežinomaisiais sprendinius.</w:t>
            </w:r>
          </w:p>
        </w:tc>
      </w:tr>
      <w:tr>
        <w:trPr/>
        <w:tc>
          <w:tcPr>
            <w:tcW w:w="2545" w:type="dxa"/>
            <w:tcBorders/>
          </w:tcPr>
          <w:p>
            <w:pPr>
              <w:pStyle w:val="Normal"/>
              <w:widowControl/>
              <w:suppressAutoHyphens w:val="true"/>
              <w:spacing w:before="0" w:after="0"/>
              <w:jc w:val="start"/>
              <w:rPr>
                <w:color w:val="000000"/>
              </w:rPr>
            </w:pPr>
            <w:r>
              <w:rPr>
                <w:rFonts w:eastAsia="NSimSun" w:cs="Times New Roman" w:ascii="Times New Roman" w:hAnsi="Times New Roman"/>
                <w:b/>
                <w:bCs/>
                <w:color w:val="000000"/>
                <w:kern w:val="2"/>
                <w:sz w:val="22"/>
                <w:szCs w:val="22"/>
                <w:lang w:val="lt-LT" w:eastAsia="zh-CN" w:bidi="hi-IN"/>
              </w:rPr>
              <w:t>5N. NELYGYBIŲ SISTEMOS</w:t>
            </w:r>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lt-LT" w:eastAsia="zh-CN" w:bidi="hi-IN"/>
              </w:rPr>
              <w:t>1. Dviejų nelygybių su vienu nežinomuoju sistema</w:t>
            </w:r>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lt-LT" w:eastAsia="zh-CN" w:bidi="hi-IN"/>
              </w:rPr>
              <w:t>2. Dvigubųjų nelygybių sprendimas</w:t>
            </w:r>
          </w:p>
          <w:p>
            <w:pPr>
              <w:pStyle w:val="Normal"/>
              <w:widowControl/>
              <w:suppressAutoHyphens w:val="true"/>
              <w:spacing w:before="0" w:after="0"/>
              <w:jc w:val="start"/>
              <w:rPr>
                <w:color w:val="000000"/>
              </w:rPr>
            </w:pPr>
            <w:r>
              <w:rPr>
                <w:rFonts w:eastAsia="NSimSun" w:cs="Times New Roman" w:ascii="Times New Roman" w:hAnsi="Times New Roman"/>
                <w:color w:val="000000"/>
                <w:kern w:val="2"/>
                <w:sz w:val="22"/>
                <w:szCs w:val="22"/>
                <w:lang w:val="lt-LT" w:eastAsia="zh-CN" w:bidi="hi-IN"/>
              </w:rPr>
              <w:t>3. Tekstiniai uždaviniai</w:t>
            </w:r>
          </w:p>
        </w:tc>
        <w:tc>
          <w:tcPr>
            <w:tcW w:w="1134" w:type="dxa"/>
            <w:tcBorders/>
          </w:tcPr>
          <w:p>
            <w:pPr>
              <w:pStyle w:val="Normal"/>
              <w:widowControl/>
              <w:suppressAutoHyphens w:val="true"/>
              <w:spacing w:lineRule="auto" w:line="240" w:before="0" w:after="0"/>
              <w:jc w:val="both"/>
              <w:rPr>
                <w:color w:val="000000"/>
              </w:rPr>
            </w:pPr>
            <w:r>
              <w:rPr>
                <w:rFonts w:eastAsia="Calibri" w:cs="Times New Roman" w:ascii="Times New Roman" w:hAnsi="Times New Roman"/>
                <w:color w:val="000000"/>
                <w:kern w:val="2"/>
                <w:sz w:val="24"/>
                <w:szCs w:val="24"/>
                <w:lang w:val="lt-LT" w:eastAsia="en-US" w:bidi="ar-SA"/>
              </w:rPr>
              <w:t>6</w:t>
            </w:r>
          </w:p>
        </w:tc>
        <w:tc>
          <w:tcPr>
            <w:tcW w:w="4963" w:type="dxa"/>
            <w:tcBorders/>
          </w:tcPr>
          <w:p>
            <w:pPr>
              <w:pStyle w:val="Normal"/>
              <w:widowControl/>
              <w:suppressAutoHyphens w:val="true"/>
              <w:spacing w:lineRule="auto" w:line="240" w:before="0" w:after="160"/>
              <w:jc w:val="start"/>
              <w:rPr>
                <w:color w:val="000000"/>
              </w:rPr>
            </w:pPr>
            <w:r>
              <w:rPr>
                <w:rFonts w:eastAsia="Calibri" w:cs="Times New Roman" w:ascii="Times New Roman" w:hAnsi="Times New Roman"/>
                <w:color w:val="000000"/>
                <w:kern w:val="2"/>
                <w:sz w:val="22"/>
                <w:szCs w:val="22"/>
                <w:lang w:val="lt-LT" w:eastAsia="en-US" w:bidi="ar-SA"/>
              </w:rPr>
              <w:t>Apibrėžia sąvokas: dviejų pirmojo laipsnio nelygybių su vienu nežinomuoju sistema ir jos sprendinys, dviguboji nelygybė ir jos sprendinys. Geba spręsti dvigubąsias nelygybes, jas užrašant dviejų nelygybių su vienu nežinomuoju sistema. Moka taisyklingai užrašyti dviejų nelygybių sistemos sprendimą, pavaizduoti gautus sprendinius skaičių tiesėje, užrašyti juos intervalu. Sprendžia nesudėtingus uždavinius, kai prašoma atrinkti tam tikras sąlygas tenkinančius nelygybių sprendinius.</w:t>
            </w:r>
          </w:p>
          <w:p>
            <w:pPr>
              <w:pStyle w:val="Normal"/>
              <w:widowControl/>
              <w:suppressAutoHyphens w:val="true"/>
              <w:spacing w:lineRule="auto" w:line="240" w:before="0" w:after="0"/>
              <w:jc w:val="start"/>
              <w:rPr>
                <w:rFonts w:ascii="Times New Roman" w:hAnsi="Times New Roman" w:eastAsia="Calibri" w:cs="Times New Roman"/>
                <w:color w:val="000000"/>
              </w:rPr>
            </w:pPr>
            <w:r>
              <w:rPr>
                <w:rFonts w:eastAsia="Calibri" w:cs="Times New Roman" w:ascii="Times New Roman" w:hAnsi="Times New Roman"/>
                <w:color w:val="000000"/>
              </w:rPr>
            </w:r>
          </w:p>
        </w:tc>
        <w:tc>
          <w:tcPr>
            <w:tcW w:w="2516"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i/>
                <w:color w:val="000000"/>
                <w:kern w:val="2"/>
                <w:sz w:val="22"/>
                <w:szCs w:val="22"/>
                <w:lang w:val="lt-LT" w:eastAsia="en-US" w:bidi="ar-SA"/>
              </w:rPr>
              <w:t xml:space="preserve">Kompetencijos: </w:t>
            </w:r>
          </w:p>
          <w:p>
            <w:pPr>
              <w:pStyle w:val="Normal"/>
              <w:widowControl/>
              <w:suppressAutoHyphens w:val="true"/>
              <w:spacing w:lineRule="auto" w:line="240" w:before="0" w:after="160"/>
              <w:jc w:val="start"/>
              <w:rPr>
                <w:color w:val="000000"/>
              </w:rPr>
            </w:pPr>
            <w:r>
              <w:rPr>
                <w:rFonts w:eastAsia="Calibri" w:cs="Times New Roman" w:ascii="Times New Roman" w:hAnsi="Times New Roman"/>
                <w:iCs/>
                <w:color w:val="000000"/>
                <w:kern w:val="2"/>
                <w:sz w:val="22"/>
                <w:szCs w:val="22"/>
                <w:lang w:val="lt-LT" w:eastAsia="en-US" w:bidi="ar-SA"/>
              </w:rPr>
              <w:t>K1</w:t>
            </w:r>
          </w:p>
          <w:p>
            <w:pPr>
              <w:pStyle w:val="Normal"/>
              <w:widowControl/>
              <w:suppressAutoHyphens w:val="true"/>
              <w:spacing w:lineRule="auto" w:line="240" w:before="0" w:after="0"/>
              <w:jc w:val="start"/>
              <w:rPr>
                <w:color w:val="000000"/>
              </w:rPr>
            </w:pPr>
            <w:r>
              <w:rPr>
                <w:rFonts w:eastAsia="Calibri" w:cs="Times New Roman" w:ascii="Times New Roman" w:hAnsi="Times New Roman"/>
                <w:i/>
                <w:color w:val="000000"/>
                <w:kern w:val="2"/>
                <w:sz w:val="22"/>
                <w:szCs w:val="22"/>
                <w:lang w:val="lt-LT" w:eastAsia="en-US" w:bidi="ar-SA"/>
              </w:rPr>
              <w:t>Matematikos pasiekimai:</w:t>
            </w:r>
          </w:p>
          <w:p>
            <w:pPr>
              <w:pStyle w:val="Normal"/>
              <w:widowControl/>
              <w:suppressAutoHyphens w:val="true"/>
              <w:spacing w:lineRule="auto" w:line="240" w:before="0" w:after="0"/>
              <w:jc w:val="start"/>
              <w:rPr>
                <w:color w:val="000000"/>
              </w:rPr>
            </w:pPr>
            <w:r>
              <w:rPr>
                <w:rFonts w:eastAsia="Calibri" w:cs="Times New Roman" w:ascii="Times New Roman" w:hAnsi="Times New Roman"/>
                <w:iCs/>
                <w:color w:val="000000"/>
                <w:kern w:val="2"/>
                <w:sz w:val="22"/>
                <w:szCs w:val="22"/>
                <w:lang w:val="lt-LT" w:eastAsia="en-US" w:bidi="ar-SA"/>
              </w:rPr>
              <w:t>A1, A3, A4</w:t>
            </w:r>
          </w:p>
          <w:p>
            <w:pPr>
              <w:pStyle w:val="Normal"/>
              <w:widowControl/>
              <w:suppressAutoHyphens w:val="true"/>
              <w:spacing w:lineRule="auto" w:line="240" w:before="0" w:after="0"/>
              <w:jc w:val="start"/>
              <w:rPr>
                <w:color w:val="000000"/>
              </w:rPr>
            </w:pPr>
            <w:r>
              <w:rPr>
                <w:rFonts w:eastAsia="Calibri" w:cs="Times New Roman" w:ascii="Times New Roman" w:hAnsi="Times New Roman"/>
                <w:iCs/>
                <w:color w:val="000000"/>
                <w:kern w:val="2"/>
                <w:sz w:val="22"/>
                <w:szCs w:val="22"/>
                <w:lang w:val="lt-LT" w:eastAsia="en-US" w:bidi="ar-SA"/>
              </w:rPr>
              <w:t>B1, B2</w:t>
            </w:r>
          </w:p>
          <w:p>
            <w:pPr>
              <w:pStyle w:val="Normal"/>
              <w:widowControl/>
              <w:suppressAutoHyphens w:val="true"/>
              <w:spacing w:lineRule="auto" w:line="240" w:before="0" w:after="0"/>
              <w:jc w:val="start"/>
              <w:rPr>
                <w:color w:val="000000"/>
              </w:rPr>
            </w:pPr>
            <w:r>
              <w:rPr>
                <w:rFonts w:eastAsia="Calibri" w:cs="Times New Roman" w:ascii="Times New Roman" w:hAnsi="Times New Roman"/>
                <w:iCs/>
                <w:color w:val="000000"/>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1 (MV07_1, Tema 4.9.)</w:t>
            </w:r>
            <w:r>
              <w:rPr>
                <w:rFonts w:eastAsia="Calibri" w:cs="Times New Roman" w:ascii="Times New Roman" w:hAnsi="Times New Roman"/>
                <w:color w:val="000000"/>
                <w:kern w:val="2"/>
                <w:sz w:val="22"/>
                <w:szCs w:val="22"/>
                <w:lang w:val="lt-LT" w:eastAsia="en-US" w:bidi="ar-SA"/>
              </w:rPr>
              <w:t>: imti medžiagą iš „Matematika Visiems, 7 kl.“ 1 dalis, psl. 84 ir 85.</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2 (MV07_1, Tema 4.10.)</w:t>
            </w:r>
            <w:r>
              <w:rPr>
                <w:rFonts w:eastAsia="Calibri" w:cs="Times New Roman" w:ascii="Times New Roman" w:hAnsi="Times New Roman"/>
                <w:color w:val="000000"/>
                <w:kern w:val="2"/>
                <w:sz w:val="22"/>
                <w:szCs w:val="22"/>
                <w:lang w:val="lt-LT" w:eastAsia="en-US" w:bidi="ar-SA"/>
              </w:rPr>
              <w:t>: imti medžiagą iš „Matematika Visiems, 7 kl.“ 1 dalis, psl. 86 ir 87.</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Tema 3 (MV07_1, Tema 4.11.)</w:t>
            </w:r>
            <w:r>
              <w:rPr>
                <w:rFonts w:eastAsia="Calibri" w:cs="Times New Roman" w:ascii="Times New Roman" w:hAnsi="Times New Roman"/>
                <w:color w:val="000000"/>
                <w:kern w:val="2"/>
                <w:sz w:val="22"/>
                <w:szCs w:val="22"/>
                <w:lang w:val="lt-LT" w:eastAsia="en-US" w:bidi="ar-SA"/>
              </w:rPr>
              <w:t>: imti medžiagą iš „Matematika Visiems, 7 kl.“ 1 dalis, psl. 88 ir 89.</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 xml:space="preserve">Apibendrinimui: </w:t>
            </w:r>
            <w:r>
              <w:rPr>
                <w:rFonts w:eastAsia="Calibri" w:cs="Times New Roman" w:ascii="Times New Roman" w:hAnsi="Times New Roman"/>
                <w:color w:val="000000"/>
                <w:kern w:val="2"/>
                <w:sz w:val="22"/>
                <w:szCs w:val="22"/>
                <w:lang w:val="lt-LT" w:eastAsia="en-US" w:bidi="ar-SA"/>
              </w:rPr>
              <w:t>„Matematika Visiems, 7 kl.“ 1 dalis, psl. 91 nelygybių sistema ir dviguboji nelygybė.</w:t>
            </w:r>
          </w:p>
          <w:p>
            <w:pPr>
              <w:pStyle w:val="Normal"/>
              <w:widowControl/>
              <w:suppressAutoHyphens w:val="true"/>
              <w:spacing w:lineRule="auto" w:line="240" w:before="0" w:after="0"/>
              <w:jc w:val="start"/>
              <w:rPr>
                <w:rFonts w:ascii="Times New Roman" w:hAnsi="Times New Roman" w:eastAsia="Calibri" w:cs="Times New Roman"/>
                <w:color w:val="000000"/>
              </w:rPr>
            </w:pPr>
            <w:r>
              <w:rPr>
                <w:rFonts w:eastAsia="Calibri" w:cs="Times New Roman" w:ascii="Times New Roman" w:hAnsi="Times New Roman"/>
                <w:b/>
                <w:bCs/>
                <w:color w:val="000000"/>
                <w:kern w:val="2"/>
                <w:sz w:val="22"/>
                <w:szCs w:val="22"/>
                <w:lang w:val="lt-LT" w:eastAsia="en-US" w:bidi="ar-SA"/>
              </w:rPr>
              <w:t>Kartojimui:</w:t>
            </w:r>
            <w:r>
              <w:rPr>
                <w:rFonts w:eastAsia="Calibri" w:cs="Times New Roman" w:ascii="Times New Roman" w:hAnsi="Times New Roman"/>
                <w:color w:val="000000"/>
                <w:kern w:val="2"/>
                <w:sz w:val="22"/>
                <w:szCs w:val="22"/>
                <w:lang w:val="lt-LT" w:eastAsia="en-US" w:bidi="ar-SA"/>
              </w:rPr>
              <w:t xml:space="preserve"> uždavinius imti iš „Matematika Visiems, 7 kl.“, psl. 92 ir 93 (K151,</w:t>
            </w:r>
            <w:r>
              <w:rPr>
                <w:rFonts w:eastAsia="Calibri" w:cs="Times New Roman" w:ascii="Times New Roman" w:hAnsi="Times New Roman"/>
                <w:color w:val="EE0000"/>
                <w:kern w:val="2"/>
                <w:sz w:val="22"/>
                <w:szCs w:val="22"/>
                <w:lang w:val="lt-LT" w:eastAsia="en-US" w:bidi="ar-SA"/>
              </w:rPr>
              <w:t xml:space="preserve"> </w:t>
            </w:r>
            <w:r>
              <w:rPr>
                <w:rFonts w:eastAsia="Calibri" w:cs="Times New Roman" w:ascii="Times New Roman" w:hAnsi="Times New Roman"/>
                <w:color w:val="000000"/>
                <w:kern w:val="2"/>
                <w:sz w:val="22"/>
                <w:szCs w:val="22"/>
                <w:lang w:val="lt-LT" w:eastAsia="en-US" w:bidi="ar-SA"/>
              </w:rPr>
              <w:t>K158, K159, K161, K162, K163).</w:t>
            </w:r>
          </w:p>
        </w:tc>
      </w:tr>
      <w:tr>
        <w:trPr/>
        <w:tc>
          <w:tcPr>
            <w:tcW w:w="2545" w:type="dxa"/>
            <w:tcBorders/>
          </w:tcPr>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b/>
                <w:bCs/>
                <w:color w:val="009900"/>
                <w:kern w:val="2"/>
                <w:sz w:val="22"/>
                <w:szCs w:val="22"/>
                <w:lang w:val="lt-LT" w:eastAsia="en-US" w:bidi="ar-SA"/>
              </w:rPr>
              <w:t xml:space="preserve">6. </w:t>
            </w:r>
            <w:r>
              <w:rPr>
                <w:rFonts w:eastAsia="NSimSun" w:cs="Times New Roman" w:ascii="Times New Roman" w:hAnsi="Times New Roman"/>
                <w:b/>
                <w:bCs/>
                <w:color w:val="009900"/>
                <w:kern w:val="2"/>
                <w:sz w:val="22"/>
                <w:szCs w:val="22"/>
                <w:lang w:val="lt-LT" w:eastAsia="zh-CN" w:bidi="hi-IN"/>
              </w:rPr>
              <w:t>VEKTORIAI</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6.1. Vektoriaus sąvoka</w:t>
            </w:r>
            <w:r>
              <w:rPr>
                <w:rFonts w:eastAsia="Calibri" w:cs="Times New Roman" w:ascii="Times New Roman" w:hAnsi="Times New Roman"/>
                <w:b/>
                <w:bCs/>
                <w:kern w:val="2"/>
                <w:sz w:val="22"/>
                <w:szCs w:val="22"/>
                <w:lang w:val="lt-LT" w:eastAsia="en-US" w:bidi="ar-SA"/>
              </w:rPr>
              <w:t xml:space="preserve">  </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6.2. Vektorių lygumas </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6.3. Vektorių sudėtis </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6.4. Vektorių atimtis </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zh-CN" w:bidi="hi-IN"/>
              </w:rPr>
              <w:t>6.5. Vektori</w:t>
            </w:r>
            <w:r>
              <w:rPr>
                <w:rFonts w:eastAsia="NSimSun" w:cs="Times New Roman" w:ascii="Times New Roman" w:hAnsi="Times New Roman"/>
                <w:kern w:val="2"/>
                <w:sz w:val="22"/>
                <w:szCs w:val="22"/>
                <w:lang w:val="lt-LT" w:eastAsia="zh-CN" w:bidi="hi-IN"/>
              </w:rPr>
              <w:t>aus</w:t>
            </w:r>
            <w:r>
              <w:rPr>
                <w:rFonts w:eastAsia="Calibri" w:cs="Times New Roman" w:ascii="Times New Roman" w:hAnsi="Times New Roman"/>
                <w:kern w:val="2"/>
                <w:sz w:val="22"/>
                <w:szCs w:val="22"/>
                <w:lang w:val="lt-LT" w:eastAsia="zh-CN" w:bidi="hi-IN"/>
              </w:rPr>
              <w:t xml:space="preserve"> daug</w:t>
            </w:r>
            <w:r>
              <w:rPr>
                <w:rFonts w:eastAsia="NSimSun" w:cs="Times New Roman" w:ascii="Times New Roman" w:hAnsi="Times New Roman"/>
                <w:kern w:val="2"/>
                <w:sz w:val="22"/>
                <w:szCs w:val="22"/>
                <w:lang w:val="lt-LT" w:eastAsia="zh-CN" w:bidi="hi-IN"/>
              </w:rPr>
              <w:t>yba</w:t>
            </w:r>
            <w:r>
              <w:rPr>
                <w:rFonts w:eastAsia="Calibri" w:cs="Times New Roman" w:ascii="Times New Roman" w:hAnsi="Times New Roman"/>
                <w:kern w:val="2"/>
                <w:sz w:val="22"/>
                <w:szCs w:val="22"/>
                <w:lang w:val="lt-LT" w:eastAsia="zh-CN" w:bidi="hi-IN"/>
              </w:rPr>
              <w:t xml:space="preserve"> iš skaičiaus </w:t>
            </w:r>
          </w:p>
          <w:p>
            <w:pPr>
              <w:pStyle w:val="Normal"/>
              <w:widowControl/>
              <w:suppressAutoHyphens w:val="true"/>
              <w:spacing w:before="0" w:after="0"/>
              <w:jc w:val="start"/>
              <w:rPr>
                <w:rFonts w:ascii="Times New Roman" w:hAnsi="Times New Roman" w:cs="Times New Roman"/>
                <w:b/>
                <w:bCs/>
              </w:rPr>
            </w:pPr>
            <w:r>
              <w:rPr>
                <w:rFonts w:cs="Times New Roman" w:ascii="Times New Roman" w:hAnsi="Times New Roman"/>
                <w:b/>
                <w:bCs/>
              </w:rPr>
            </w:r>
          </w:p>
        </w:tc>
        <w:tc>
          <w:tcPr>
            <w:tcW w:w="1134" w:type="dxa"/>
            <w:tcBorders/>
          </w:tcPr>
          <w:p>
            <w:pPr>
              <w:pStyle w:val="Normal"/>
              <w:widowControl/>
              <w:suppressAutoHyphens w:val="true"/>
              <w:spacing w:lineRule="auto" w:line="240" w:before="0" w:after="0"/>
              <w:jc w:val="both"/>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Normal"/>
              <w:widowControl/>
              <w:suppressAutoHyphens w:val="true"/>
              <w:spacing w:before="0" w:after="12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Apibūdina vektoriaus (kryptinės atkarpos) ir jo ilgio sąvokas. Žino, kokie vektoriai vadinami, vienakrypčiais, priešpriešiniais. Moka atpažinti lygius ir priešinguosius vektorius. Geba rasti vektorių sumą, skirtumą, padauginti vektorių iš skaičiaus. Įgytas žinias geba taikyti, sprendžiant paprastus geometrinius uždavinius.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eastAsia="Calibri" w:cs="Times New Roman"/>
                <w:iCs/>
              </w:rPr>
            </w:pPr>
            <w:r>
              <w:rPr>
                <w:rFonts w:eastAsia="Calibri" w:cs="Times New Roman" w:ascii="Times New Roman" w:hAnsi="Times New Roman"/>
                <w:iCs/>
                <w:kern w:val="2"/>
                <w:sz w:val="22"/>
                <w:szCs w:val="22"/>
                <w:lang w:val="lt-LT" w:eastAsia="en-US" w:bidi="ar-SA"/>
              </w:rPr>
              <w:t>A1, A2,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eastAsia="Calibri" w:cs="Times New Roman"/>
                <w:i/>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rPr>
            </w:r>
          </w:p>
        </w:tc>
      </w:tr>
      <w:tr>
        <w:trPr/>
        <w:tc>
          <w:tcPr>
            <w:tcW w:w="2545" w:type="dxa"/>
            <w:tcBorders/>
          </w:tcPr>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b/>
                <w:bCs/>
                <w:color w:val="009900"/>
                <w:kern w:val="2"/>
                <w:sz w:val="22"/>
                <w:szCs w:val="22"/>
                <w:lang w:val="lt-LT" w:eastAsia="en-US" w:bidi="ar-SA"/>
              </w:rPr>
              <w:t>7. PLOKŠTUMOS FIGŪROS</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7.1. Pitagoro teorema</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7.2. Atvirkštinė Pitagoro teorema</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7.3. Atstumas tarp dviejų koordinačių plokštumos taškų</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7.4. Stačiojo trikampio statinis, esantis prieš 30</w:t>
            </w:r>
            <w:r>
              <w:rPr>
                <w:rFonts w:eastAsia="NSimSun" w:cs="Times New Roman" w:ascii="Times New Roman" w:hAnsi="Times New Roman"/>
                <w:kern w:val="2"/>
                <w:sz w:val="22"/>
                <w:szCs w:val="22"/>
                <w:lang w:val="lt-LT" w:eastAsia="zh-CN" w:bidi="hi-IN"/>
              </w:rPr>
              <w:t>° kampą</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7.5. Lygiašonis ir lygiakraštis trikampiai </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7.6. Trikampio vidurio linija</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7.7. Trapecijos vidurio linija</w:t>
            </w:r>
          </w:p>
          <w:p>
            <w:pPr>
              <w:pStyle w:val="Normal"/>
              <w:widowControl/>
              <w:suppressAutoHyphens w:val="true"/>
              <w:spacing w:before="0" w:after="0"/>
              <w:jc w:val="start"/>
              <w:rPr>
                <w:rFonts w:ascii="Times New Roman" w:hAnsi="Times New Roman" w:cs="Times New Roman"/>
                <w:color w:themeColor="accent6" w:val="70AD47"/>
              </w:rPr>
            </w:pPr>
            <w:r>
              <w:rPr>
                <w:rFonts w:cs="Times New Roman" w:ascii="Times New Roman" w:hAnsi="Times New Roman"/>
                <w:color w:themeColor="accent6" w:val="70AD47"/>
              </w:rPr>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10</w:t>
            </w:r>
          </w:p>
        </w:tc>
        <w:tc>
          <w:tcPr>
            <w:tcW w:w="4963" w:type="dxa"/>
            <w:tcBorders/>
          </w:tcPr>
          <w:p>
            <w:pPr>
              <w:pStyle w:val="Normal"/>
              <w:widowControl/>
              <w:suppressAutoHyphens w:val="true"/>
              <w:spacing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Geba įrodyti Pitagoro teoremą. Žino atvirkštinę Pitagoro teoremą ir, ja naudodamasis (kai žinomos trys trikampio kraštinės), moka nustatyti (teisingai užrašyti), ar duotasis trikampis yra statusis. Moka taikyti Pitagoro teoremą sprendžiant įvairius uždavinius.</w:t>
            </w:r>
          </w:p>
          <w:p>
            <w:pPr>
              <w:pStyle w:val="Normal"/>
              <w:widowControl/>
              <w:suppressAutoHyphens w:val="true"/>
              <w:spacing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Geba apibrėžti sąvokas: trikampio vidurio linija, trapecijos vidurio linija. </w:t>
            </w:r>
            <w:r>
              <w:rPr>
                <w:rFonts w:eastAsia="Calibri" w:cs="Times New Roman" w:ascii="Times New Roman" w:hAnsi="Times New Roman"/>
                <w:kern w:val="2"/>
                <w:sz w:val="22"/>
                <w:szCs w:val="22"/>
                <w:lang w:val="lt-LT" w:eastAsia="en-US" w:bidi="ar-SA"/>
              </w:rPr>
              <w:t xml:space="preserve">Žino savybes ir moka </w:t>
            </w:r>
            <w:r>
              <w:rPr>
                <w:rFonts w:eastAsia="Calibri" w:cs="Times New Roman" w:ascii="Times New Roman" w:hAnsi="Times New Roman"/>
                <w:kern w:val="2"/>
                <w:sz w:val="22"/>
                <w:szCs w:val="22"/>
                <w:lang w:val="lt-LT" w:eastAsia="en-US" w:bidi="ar-SA"/>
              </w:rPr>
              <w:t>jas apskaičiuoti. Geba įrodyti statinio, esančio prieš 30° kampą savybę. Moka rasti stačiojo trikampio kampus, kai jo statinis dukart trumpesnis už įžambinę. Geba apskaičiuoti lygiašonio trikampio kampų dydžius, kai vienas jo kampas yra žinomas. Geba nustatyti ar trikampis yra lygiašonis ir jo savybes geba taikyti, sprendžiant įvairius nesudėtingus uždavinius.</w:t>
            </w:r>
          </w:p>
          <w:p>
            <w:pPr>
              <w:pStyle w:val="Normal"/>
              <w:widowControl/>
              <w:suppressAutoHyphens w:val="true"/>
              <w:spacing w:before="0" w:after="160"/>
              <w:jc w:val="both"/>
              <w:rPr>
                <w:rFonts w:ascii="Times New Roman" w:hAnsi="Times New Roman" w:cs="Times New Roman"/>
              </w:rPr>
            </w:pPr>
            <w:r>
              <w:rPr>
                <w:rFonts w:eastAsia="Calibri" w:cs="Times New Roman" w:ascii="Times New Roman" w:hAnsi="Times New Roman"/>
                <w:kern w:val="2"/>
                <w:sz w:val="22"/>
                <w:szCs w:val="22"/>
                <w:lang w:val="lt-LT" w:eastAsia="en-US" w:bidi="ar-SA"/>
              </w:rPr>
              <w:t>Naudojantis Pitagoro teorema, moka apskaičiuoti atstumą tarp dviejų taškų koordinačių plokštumoje. Sprendžiant įvairius matematinio ir praktinio turinio uždavinius, turimas figūrų pažinimo žinias derina su kitų sričių žiniomis.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K6,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Skatinti mokinius pasidomėti kitais Pitagoro teoremos įrodymo būdais.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b/>
                <w:bCs/>
                <w:color w:val="000000"/>
                <w:kern w:val="2"/>
                <w:sz w:val="22"/>
                <w:szCs w:val="22"/>
                <w:lang w:val="lt-LT" w:eastAsia="en-US" w:bidi="ar-SA"/>
              </w:rPr>
              <w:t>Tema 7.6.</w:t>
            </w:r>
            <w:r>
              <w:rPr>
                <w:rFonts w:eastAsia="Calibri" w:cs="Times New Roman" w:ascii="Times New Roman" w:hAnsi="Times New Roman"/>
                <w:color w:val="000000"/>
                <w:kern w:val="2"/>
                <w:sz w:val="22"/>
                <w:szCs w:val="22"/>
                <w:lang w:val="lt-LT" w:eastAsia="en-US" w:bidi="ar-SA"/>
              </w:rPr>
              <w:t>: nenagrinėti teoremos įrodymo; nespręsti</w:t>
            </w:r>
            <w:r>
              <w:rPr>
                <w:rFonts w:eastAsia="Calibri" w:cs="Times New Roman" w:ascii="Times New Roman" w:hAnsi="Times New Roman"/>
                <w:color w:val="EE0000"/>
                <w:kern w:val="2"/>
                <w:sz w:val="22"/>
                <w:szCs w:val="22"/>
                <w:lang w:val="lt-LT" w:eastAsia="en-US" w:bidi="ar-SA"/>
              </w:rPr>
              <w:t xml:space="preserve"> </w:t>
            </w:r>
            <w:r>
              <w:rPr>
                <w:rFonts w:eastAsia="Calibri" w:cs="Times New Roman" w:ascii="Times New Roman" w:hAnsi="Times New Roman"/>
                <w:color w:val="000000"/>
                <w:kern w:val="2"/>
                <w:sz w:val="22"/>
                <w:szCs w:val="22"/>
                <w:lang w:val="lt-LT" w:eastAsia="en-US" w:bidi="ar-SA"/>
              </w:rPr>
              <w:t>U108.</w:t>
            </w:r>
          </w:p>
        </w:tc>
      </w:tr>
      <w:tr>
        <w:trPr/>
        <w:tc>
          <w:tcPr>
            <w:tcW w:w="2545" w:type="dxa"/>
            <w:tcBorders/>
          </w:tcPr>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b/>
                <w:bCs/>
                <w:color w:val="009900"/>
                <w:kern w:val="2"/>
                <w:sz w:val="22"/>
                <w:szCs w:val="22"/>
                <w:lang w:val="lt-LT" w:eastAsia="en-US" w:bidi="ar-SA"/>
              </w:rPr>
              <w:t>8. ERDVINIAI KŪNAI</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8.1. Stačioji prizmė</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8.2. Taisyklingoji piramidė</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8.3. Ritinys</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8.4. Kūgis</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8.</w:t>
            </w:r>
            <w:r>
              <w:rPr>
                <w:rFonts w:eastAsia="NSimSun" w:cs="Times New Roman" w:ascii="Times New Roman" w:hAnsi="Times New Roman"/>
                <w:kern w:val="2"/>
                <w:sz w:val="22"/>
                <w:szCs w:val="22"/>
                <w:lang w:val="lt-LT" w:eastAsia="zh-CN" w:bidi="hi-IN"/>
              </w:rPr>
              <w:t>5</w:t>
            </w:r>
            <w:r>
              <w:rPr>
                <w:rFonts w:eastAsia="Calibri" w:cs="Times New Roman" w:ascii="Times New Roman" w:hAnsi="Times New Roman"/>
                <w:kern w:val="2"/>
                <w:sz w:val="22"/>
                <w:szCs w:val="22"/>
                <w:lang w:val="lt-LT" w:eastAsia="en-US" w:bidi="ar-SA"/>
              </w:rPr>
              <w:t>. Rutulys ir sfera</w:t>
            </w:r>
          </w:p>
          <w:p>
            <w:pPr>
              <w:pStyle w:val="Normal"/>
              <w:widowControl/>
              <w:suppressAutoHyphens w:val="true"/>
              <w:spacing w:before="0" w:after="0"/>
              <w:jc w:val="start"/>
              <w:rPr>
                <w:rFonts w:ascii="Times New Roman" w:hAnsi="Times New Roman" w:cs="Times New Roman"/>
              </w:rPr>
            </w:pPr>
            <w:r>
              <w:rPr>
                <w:rFonts w:cs="Times New Roman" w:ascii="Times New Roman" w:hAnsi="Times New Roman"/>
              </w:rPr>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7</w:t>
            </w:r>
          </w:p>
        </w:tc>
        <w:tc>
          <w:tcPr>
            <w:tcW w:w="4963" w:type="dxa"/>
            <w:tcBorders/>
          </w:tcPr>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Skiria sąvokas: prizmė ir piramidė; kūgis ir ritinys; sfera ir rutulys. </w:t>
            </w:r>
          </w:p>
          <w:p>
            <w:pPr>
              <w:pStyle w:val="Normal"/>
              <w:widowControl/>
              <w:suppressAutoHyphens w:val="true"/>
              <w:spacing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paaiškinti stačiosios prizmės, taisyklingosios piramidės, ritinio, kūgio ir seros  paviršiaus ploto formules ir jas taiko uždaviniams spręsti. Moka apskaičiuoti stačiosios prizmės, taisyklingosios piramidės, ritinio, kūgio ir rutulio tūrį. Geba Pitagoro teoremą, statinio, esančio prieš 30</w:t>
            </w:r>
            <w:r>
              <w:rPr>
                <w:rFonts w:eastAsia="Calibri" w:cs="Times New Roman" w:ascii="Liberation Serif" w:hAnsi="Liberation Serif"/>
                <w:kern w:val="2"/>
                <w:sz w:val="22"/>
                <w:szCs w:val="22"/>
                <w:lang w:val="lt-LT" w:eastAsia="en-US" w:bidi="ar-SA"/>
              </w:rPr>
              <w:t>º</w:t>
            </w:r>
            <w:r>
              <w:rPr>
                <w:rFonts w:eastAsia="Calibri" w:cs="Times New Roman" w:ascii="Times New Roman" w:hAnsi="Times New Roman"/>
                <w:kern w:val="2"/>
                <w:sz w:val="22"/>
                <w:szCs w:val="22"/>
                <w:lang w:val="lt-LT" w:eastAsia="en-US" w:bidi="ar-SA"/>
              </w:rPr>
              <w:t xml:space="preserve"> kampą, taisyklę ir lygiašonio trikampio savybes taikyti nežinomų erdvinių figūrų elementams apskaičiuoti.</w:t>
            </w:r>
          </w:p>
          <w:p>
            <w:pPr>
              <w:pStyle w:val="Normal"/>
              <w:widowControl/>
              <w:suppressAutoHyphens w:val="true"/>
              <w:spacing w:before="0" w:after="12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spręsti uždavinius, kuriuose parodytas tik erdvinio kūno elementas žvelgiant į jį iš viršaus, iš priekio, iš šono. Sprendžiant realaus turinio uždavinius, geba naudotis brėžiniais, kuriuose nurodytas mastelis.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Rekomenduojama skirti atskirą pamoką skyreliui „Darbas grupėse“ </w:t>
            </w:r>
            <w:r>
              <w:rPr>
                <w:rFonts w:eastAsia="Calibri" w:cs="Times New Roman" w:ascii="Times New Roman" w:hAnsi="Times New Roman"/>
                <w:color w:val="000000"/>
                <w:kern w:val="2"/>
                <w:sz w:val="22"/>
                <w:szCs w:val="22"/>
                <w:lang w:val="lt-LT" w:eastAsia="en-US" w:bidi="ar-SA"/>
              </w:rPr>
              <w:t xml:space="preserve">(pamokai skirti laiką iš </w:t>
            </w:r>
            <w:r>
              <w:rPr>
                <w:rFonts w:eastAsia="Calibri" w:cs="Times New Roman" w:ascii="Times New Roman" w:hAnsi="Times New Roman"/>
                <w:kern w:val="2"/>
                <w:sz w:val="22"/>
                <w:szCs w:val="22"/>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Naudojantis fizinėmis ir skaitmeninėmis priemonėmis rekomenduojama atlikti kūrybinius darbus gaminant modelius ir išklotines (ypač su taisyklingosiomis piramidėmis).</w:t>
            </w:r>
          </w:p>
        </w:tc>
      </w:tr>
      <w:tr>
        <w:trPr/>
        <w:tc>
          <w:tcPr>
            <w:tcW w:w="2545" w:type="dxa"/>
            <w:tcBorders/>
          </w:tcPr>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b/>
                <w:bCs/>
                <w:color w:val="009900"/>
                <w:kern w:val="2"/>
                <w:sz w:val="22"/>
                <w:szCs w:val="22"/>
                <w:lang w:val="lt-LT" w:eastAsia="en-US" w:bidi="ar-SA"/>
              </w:rPr>
              <w:t>9. DUOMENYS</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9.1. </w:t>
            </w:r>
            <w:r>
              <w:rPr>
                <w:rFonts w:eastAsia="NSimSun" w:cs="Times New Roman" w:ascii="Times New Roman" w:hAnsi="Times New Roman"/>
                <w:kern w:val="2"/>
                <w:sz w:val="22"/>
                <w:szCs w:val="22"/>
                <w:lang w:val="lt-LT" w:eastAsia="zh-CN" w:bidi="hi-IN"/>
              </w:rPr>
              <w:t>Empirinis skirstinys</w:t>
            </w:r>
          </w:p>
          <w:p>
            <w:pPr>
              <w:pStyle w:val="Normal"/>
              <w:widowControl/>
              <w:suppressAutoHyphens w:val="true"/>
              <w:spacing w:before="0" w:after="0"/>
              <w:jc w:val="start"/>
              <w:rPr>
                <w:rFonts w:ascii="Times New Roman" w:hAnsi="Times New Roman" w:cs="Times New Roman"/>
                <w:b/>
                <w:bCs/>
              </w:rPr>
            </w:pPr>
            <w:r>
              <w:rPr>
                <w:rFonts w:eastAsia="NSimSun" w:cs="Times New Roman" w:ascii="Times New Roman" w:hAnsi="Times New Roman"/>
                <w:kern w:val="2"/>
                <w:sz w:val="22"/>
                <w:szCs w:val="22"/>
                <w:lang w:val="lt-LT" w:eastAsia="zh-CN" w:bidi="hi-IN"/>
              </w:rPr>
              <w:t xml:space="preserve">9.2. </w:t>
            </w:r>
            <w:r>
              <w:rPr>
                <w:rFonts w:eastAsia="Calibri" w:cs="Times New Roman" w:ascii="Times New Roman" w:hAnsi="Times New Roman"/>
                <w:kern w:val="2"/>
                <w:sz w:val="22"/>
                <w:szCs w:val="22"/>
                <w:lang w:val="lt-LT" w:eastAsia="zh-CN" w:bidi="hi-IN"/>
              </w:rPr>
              <w:t>Sukauptasis ir sukauptasis santykinis dažniai</w:t>
            </w:r>
          </w:p>
          <w:p>
            <w:pPr>
              <w:pStyle w:val="Normal"/>
              <w:widowControl/>
              <w:suppressAutoHyphens w:val="true"/>
              <w:spacing w:before="0" w:after="0"/>
              <w:jc w:val="start"/>
              <w:rPr>
                <w:color w:val="000000"/>
              </w:rPr>
            </w:pPr>
            <w:r>
              <w:rPr>
                <w:rFonts w:eastAsia="Calibri" w:cs="Times New Roman" w:ascii="Times New Roman" w:hAnsi="Times New Roman"/>
                <w:b w:val="false"/>
                <w:bCs w:val="false"/>
                <w:color w:val="000000"/>
                <w:kern w:val="2"/>
                <w:sz w:val="22"/>
                <w:szCs w:val="22"/>
                <w:lang w:val="lt-LT" w:eastAsia="zh-CN" w:bidi="hi-IN"/>
              </w:rPr>
              <w:t>9.3.Sugrupuotų duomenų stulpelinė diagrama</w:t>
            </w:r>
          </w:p>
          <w:p>
            <w:pPr>
              <w:pStyle w:val="Normal"/>
              <w:widowControl/>
              <w:suppressAutoHyphens w:val="true"/>
              <w:spacing w:before="0" w:after="0"/>
              <w:jc w:val="start"/>
              <w:rPr>
                <w:color w:val="000000"/>
              </w:rPr>
            </w:pPr>
            <w:r>
              <w:rPr>
                <w:rFonts w:eastAsia="Calibri" w:cs="Times New Roman" w:ascii="Times New Roman" w:hAnsi="Times New Roman"/>
                <w:color w:val="000000"/>
                <w:kern w:val="2"/>
                <w:sz w:val="22"/>
                <w:szCs w:val="22"/>
                <w:lang w:val="lt-LT" w:eastAsia="en-US" w:bidi="ar-SA"/>
              </w:rPr>
              <w:t>9.</w:t>
            </w:r>
            <w:r>
              <w:rPr>
                <w:rFonts w:eastAsia="NSimSun" w:cs="Times New Roman" w:ascii="Times New Roman" w:hAnsi="Times New Roman"/>
                <w:color w:val="000000"/>
                <w:kern w:val="2"/>
                <w:sz w:val="22"/>
                <w:szCs w:val="22"/>
                <w:lang w:val="lt-LT" w:eastAsia="zh-CN" w:bidi="hi-IN"/>
              </w:rPr>
              <w:t>4</w:t>
            </w:r>
            <w:r>
              <w:rPr>
                <w:rFonts w:eastAsia="Calibri" w:cs="Times New Roman" w:ascii="Times New Roman" w:hAnsi="Times New Roman"/>
                <w:color w:val="000000"/>
                <w:kern w:val="2"/>
                <w:sz w:val="22"/>
                <w:szCs w:val="22"/>
                <w:lang w:val="lt-LT" w:eastAsia="en-US" w:bidi="ar-SA"/>
              </w:rPr>
              <w:t xml:space="preserve">. </w:t>
            </w:r>
            <w:r>
              <w:rPr>
                <w:rFonts w:eastAsia="NSimSun" w:cs="Times New Roman" w:ascii="Times New Roman" w:hAnsi="Times New Roman"/>
                <w:color w:val="000000"/>
                <w:kern w:val="2"/>
                <w:sz w:val="22"/>
                <w:szCs w:val="22"/>
                <w:lang w:val="lt-LT" w:eastAsia="zh-CN" w:bidi="hi-IN"/>
              </w:rPr>
              <w:t>H</w:t>
            </w:r>
            <w:r>
              <w:rPr>
                <w:rFonts w:eastAsia="Calibri" w:cs="Times New Roman" w:ascii="Times New Roman" w:hAnsi="Times New Roman"/>
                <w:color w:val="000000"/>
                <w:kern w:val="2"/>
                <w:sz w:val="22"/>
                <w:szCs w:val="22"/>
                <w:lang w:val="lt-LT" w:eastAsia="en-US" w:bidi="ar-SA"/>
              </w:rPr>
              <w:t>istogram</w:t>
            </w:r>
            <w:r>
              <w:rPr>
                <w:rFonts w:eastAsia="NSimSun" w:cs="Times New Roman" w:ascii="Times New Roman" w:hAnsi="Times New Roman"/>
                <w:color w:val="000000"/>
                <w:kern w:val="2"/>
                <w:sz w:val="22"/>
                <w:szCs w:val="22"/>
                <w:lang w:val="lt-LT" w:eastAsia="zh-CN" w:bidi="hi-IN"/>
              </w:rPr>
              <w:t>a</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9.5. </w:t>
            </w:r>
            <w:r>
              <w:rPr>
                <w:rFonts w:eastAsia="NSimSun" w:cs="Times New Roman" w:ascii="Times New Roman" w:hAnsi="Times New Roman"/>
                <w:kern w:val="2"/>
                <w:sz w:val="22"/>
                <w:szCs w:val="22"/>
                <w:lang w:val="lt-LT" w:eastAsia="zh-CN" w:bidi="hi-IN"/>
              </w:rPr>
              <w:t>Imties</w:t>
            </w:r>
            <w:r>
              <w:rPr>
                <w:rFonts w:eastAsia="Calibri" w:cs="Times New Roman" w:ascii="Times New Roman" w:hAnsi="Times New Roman"/>
                <w:kern w:val="2"/>
                <w:sz w:val="22"/>
                <w:szCs w:val="22"/>
                <w:lang w:val="lt-LT" w:eastAsia="en-US" w:bidi="ar-SA"/>
              </w:rPr>
              <w:t xml:space="preserve"> skaitinės charakteristikos</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9.</w:t>
            </w:r>
            <w:r>
              <w:rPr>
                <w:rFonts w:eastAsia="NSimSun" w:cs="Times New Roman" w:ascii="Times New Roman" w:hAnsi="Times New Roman"/>
                <w:kern w:val="2"/>
                <w:sz w:val="22"/>
                <w:szCs w:val="22"/>
                <w:lang w:val="lt-LT" w:eastAsia="zh-CN" w:bidi="hi-IN"/>
              </w:rPr>
              <w:t>6</w:t>
            </w:r>
            <w:r>
              <w:rPr>
                <w:rFonts w:eastAsia="Calibri" w:cs="Times New Roman" w:ascii="Times New Roman" w:hAnsi="Times New Roman"/>
                <w:kern w:val="2"/>
                <w:sz w:val="22"/>
                <w:szCs w:val="22"/>
                <w:lang w:val="lt-LT" w:eastAsia="en-US" w:bidi="ar-SA"/>
              </w:rPr>
              <w:t>. Kvartiliai</w:t>
            </w:r>
          </w:p>
          <w:p>
            <w:pPr>
              <w:pStyle w:val="Normal"/>
              <w:widowControl/>
              <w:suppressAutoHyphens w:val="true"/>
              <w:spacing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zh-CN" w:bidi="hi-IN"/>
              </w:rPr>
              <w:t>9.</w:t>
            </w:r>
            <w:r>
              <w:rPr>
                <w:rFonts w:eastAsia="NSimSun" w:cs="Times New Roman" w:ascii="Times New Roman" w:hAnsi="Times New Roman"/>
                <w:kern w:val="2"/>
                <w:sz w:val="22"/>
                <w:szCs w:val="22"/>
                <w:lang w:val="lt-LT" w:eastAsia="zh-CN" w:bidi="hi-IN"/>
              </w:rPr>
              <w:t>7</w:t>
            </w:r>
            <w:r>
              <w:rPr>
                <w:rFonts w:eastAsia="Calibri" w:cs="Times New Roman" w:ascii="Times New Roman" w:hAnsi="Times New Roman"/>
                <w:kern w:val="2"/>
                <w:sz w:val="22"/>
                <w:szCs w:val="22"/>
                <w:lang w:val="lt-LT" w:eastAsia="zh-CN" w:bidi="hi-IN"/>
              </w:rPr>
              <w:t xml:space="preserve">. </w:t>
            </w:r>
            <w:r>
              <w:rPr>
                <w:rFonts w:eastAsia="NSimSun" w:cs="Times New Roman" w:ascii="Times New Roman" w:hAnsi="Times New Roman"/>
                <w:kern w:val="2"/>
                <w:sz w:val="22"/>
                <w:szCs w:val="22"/>
                <w:lang w:val="lt-LT" w:eastAsia="zh-CN" w:bidi="hi-IN"/>
              </w:rPr>
              <w:t>S</w:t>
            </w:r>
            <w:r>
              <w:rPr>
                <w:rFonts w:eastAsia="Calibri" w:cs="Times New Roman" w:ascii="Times New Roman" w:hAnsi="Times New Roman"/>
                <w:kern w:val="2"/>
                <w:sz w:val="22"/>
                <w:szCs w:val="22"/>
                <w:lang w:val="lt-LT" w:eastAsia="zh-CN" w:bidi="hi-IN"/>
              </w:rPr>
              <w:t>tačiakamp</w:t>
            </w:r>
            <w:r>
              <w:rPr>
                <w:rFonts w:eastAsia="NSimSun" w:cs="Times New Roman" w:ascii="Times New Roman" w:hAnsi="Times New Roman"/>
                <w:kern w:val="2"/>
                <w:sz w:val="22"/>
                <w:szCs w:val="22"/>
                <w:lang w:val="lt-LT" w:eastAsia="zh-CN" w:bidi="hi-IN"/>
              </w:rPr>
              <w:t>ė</w:t>
            </w:r>
            <w:r>
              <w:rPr>
                <w:rFonts w:eastAsia="Calibri" w:cs="Times New Roman" w:ascii="Times New Roman" w:hAnsi="Times New Roman"/>
                <w:kern w:val="2"/>
                <w:sz w:val="22"/>
                <w:szCs w:val="22"/>
                <w:lang w:val="lt-LT" w:eastAsia="zh-CN" w:bidi="hi-IN"/>
              </w:rPr>
              <w:t xml:space="preserve"> diagrama su „ūsais“</w:t>
            </w:r>
          </w:p>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7</w:t>
            </w:r>
          </w:p>
        </w:tc>
        <w:tc>
          <w:tcPr>
            <w:tcW w:w="4963" w:type="dxa"/>
            <w:tcBorders/>
          </w:tcPr>
          <w:p>
            <w:pPr>
              <w:pStyle w:val="Normal"/>
              <w:widowControl/>
              <w:suppressAutoHyphens w:val="true"/>
              <w:spacing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nagrinėti situacijas, kai keliami sudėtingesni statistiniai klausimai. Nagrinėjant konkrečius pavyzdžius, geba duomenis pavaizduoti grafiškai: stulpeline ar skrituline diagramomis, histograma. Moka duomenis suskirstyti į vienodo ilgio intervalus, taip pat įvertinti, koks galėtų būti į intervalus patekusių duomenų vidurkis. Apibūdinant imties savybes, palyginant dideles duomenų grupes, vartoja įvairias skaitines charakteristikas, t. y. moda, mediana, kvartilis. Moka surasti duomenų pirmąjį, antrąjį, trečiąjį kvartilius, grafiškai pavaizduoti duomenų išsibarstymą stačiakampe diagrama ,,su ūsais“, skaityti ir suprasti tokia diagrama pavaizduotą informaciją. Kai yra išskirčių (stipriai išsiskiriančių duomenų), geba  stačiakampėje diagramoje ,,su ūsais“ juos interpretuoti. Nagrinėjant praktines situacijas, supranta, kaip apskaičiuojamas sukauptasis dažnis, sukauptasis santykinis dažnis, empirinis tankis ir moka lentelės duomenis pavaizduoti diagramomis, geba skaityti ir interpretuoti tokiomis diagramomis pateiktus duomenis.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K5</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C2,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tc>
      </w:tr>
      <w:tr>
        <w:trPr/>
        <w:tc>
          <w:tcPr>
            <w:tcW w:w="2545" w:type="dxa"/>
            <w:tcBorders/>
          </w:tcPr>
          <w:p>
            <w:pPr>
              <w:pStyle w:val="Normal"/>
              <w:widowControl/>
              <w:suppressAutoHyphens w:val="true"/>
              <w:spacing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P</w:t>
            </w:r>
            <w:r>
              <w:rPr>
                <w:rFonts w:eastAsia="NSimSun" w:cs="Times New Roman" w:ascii="Times New Roman" w:hAnsi="Times New Roman"/>
                <w:b/>
                <w:bCs/>
                <w:color w:val="009900"/>
                <w:kern w:val="2"/>
                <w:sz w:val="22"/>
                <w:szCs w:val="22"/>
                <w:lang w:val="lt-LT" w:eastAsia="zh-CN" w:bidi="hi-IN"/>
              </w:rPr>
              <w:t>ROGIMNAZIJOS KURSO KARTOJIMO MEDŽIAGA</w:t>
            </w:r>
          </w:p>
        </w:tc>
        <w:tc>
          <w:tcPr>
            <w:tcW w:w="1134" w:type="dxa"/>
            <w:tcBorders/>
          </w:tcPr>
          <w:p>
            <w:pPr>
              <w:pStyle w:val="Normal"/>
              <w:widowContro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cs="Times New Roman" w:ascii="Times New Roman" w:hAnsi="Times New Roman"/>
                <w:i/>
                <w:sz w:val="24"/>
                <w:szCs w:val="24"/>
              </w:rPr>
            </w:r>
          </w:p>
        </w:tc>
        <w:tc>
          <w:tcPr>
            <w:tcW w:w="2790" w:type="dxa"/>
            <w:tcBorders/>
          </w:tcPr>
          <w:p>
            <w:pPr>
              <w:pStyle w:val="Normal"/>
              <w:widowControl/>
              <w:suppressAutoHyphens w:val="true"/>
              <w:spacing w:lineRule="auto" w:line="240" w:before="0" w:after="0"/>
              <w:jc w:val="start"/>
              <w:rPr>
                <w:rFonts w:ascii="Times New Roman" w:hAnsi="Times New Roman" w:cs="Times New Roman"/>
                <w:color w:val="FF0000"/>
                <w:sz w:val="24"/>
                <w:szCs w:val="24"/>
              </w:rPr>
            </w:pPr>
            <w:r>
              <w:rPr>
                <w:rFonts w:eastAsia="Calibri" w:cs="Times New Roman" w:ascii="Times New Roman" w:hAnsi="Times New Roman"/>
                <w:color w:val="000000"/>
                <w:kern w:val="2"/>
                <w:sz w:val="22"/>
                <w:szCs w:val="22"/>
                <w:lang w:val="lt-LT" w:eastAsia="en-US" w:bidi="ar-SA"/>
              </w:rPr>
              <w:t xml:space="preserve">Laiką skirti iš </w:t>
            </w:r>
            <w:r>
              <w:rPr>
                <w:rFonts w:eastAsia="Calibri" w:cs="Times New Roman" w:ascii="Times New Roman" w:hAnsi="Times New Roman"/>
                <w:kern w:val="2"/>
                <w:sz w:val="22"/>
                <w:szCs w:val="22"/>
                <w:lang w:val="lt-LT" w:eastAsia="en-US" w:bidi="ar-SA"/>
              </w:rPr>
              <w:t>30 % laisvai pasirenkamo ugdymo turinio</w:t>
            </w:r>
            <w:r>
              <w:rPr>
                <w:rFonts w:eastAsia="Calibri" w:cs="Times New Roman" w:ascii="Times New Roman" w:hAnsi="Times New Roman"/>
                <w:kern w:val="2"/>
                <w:sz w:val="24"/>
                <w:szCs w:val="24"/>
                <w:lang w:val="lt-LT" w:eastAsia="en-US" w:bidi="ar-SA"/>
              </w:rPr>
              <w:t>.</w:t>
            </w:r>
          </w:p>
          <w:p>
            <w:pPr>
              <w:pStyle w:val="Normal"/>
              <w:widowControl/>
              <w:suppressAutoHyphens w:val="true"/>
              <w:spacing w:lineRule="auto" w:line="240" w:before="0" w:after="0"/>
              <w:jc w:val="start"/>
              <w:rPr>
                <w:rFonts w:ascii="Times New Roman" w:hAnsi="Times New Roman" w:cs="Times New Roman"/>
                <w:color w:val="FF0000"/>
                <w:sz w:val="24"/>
                <w:szCs w:val="24"/>
              </w:rPr>
            </w:pPr>
            <w:r>
              <w:rPr>
                <w:rFonts w:cs="Times New Roman" w:ascii="Times New Roman" w:hAnsi="Times New Roman"/>
                <w:color w:val="FF0000"/>
                <w:sz w:val="24"/>
                <w:szCs w:val="24"/>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color w:val="000000"/>
                <w:kern w:val="2"/>
                <w:sz w:val="24"/>
                <w:szCs w:val="24"/>
                <w:lang w:val="lt-LT" w:eastAsia="en-US" w:bidi="ar-SA"/>
              </w:rPr>
              <w:t>Valandos mokinių pasiekimų patikrinimui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20</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cs="Times New Roman" w:ascii="Times New Roman" w:hAnsi="Times New Roman"/>
                <w:i/>
                <w:sz w:val="24"/>
                <w:szCs w:val="24"/>
              </w:rPr>
            </w:r>
          </w:p>
        </w:tc>
        <w:tc>
          <w:tcPr>
            <w:tcW w:w="2790" w:type="dxa"/>
            <w:tcBorders/>
          </w:tcPr>
          <w:p>
            <w:pPr>
              <w:pStyle w:val="Normal"/>
              <w:widowControl/>
              <w:suppressAutoHyphens w:val="true"/>
              <w:spacing w:lineRule="auto" w:line="240" w:before="0" w:after="0"/>
              <w:jc w:val="both"/>
              <w:rPr>
                <w:rFonts w:ascii="Times New Roman" w:hAnsi="Times New Roman" w:cs="Times New Roman"/>
                <w:color w:val="FF0000"/>
                <w:sz w:val="24"/>
                <w:szCs w:val="24"/>
              </w:rPr>
            </w:pPr>
            <w:r>
              <w:rPr>
                <w:rFonts w:cs="Times New Roman" w:ascii="Times New Roman" w:hAnsi="Times New Roman"/>
                <w:color w:val="FF0000"/>
                <w:sz w:val="24"/>
                <w:szCs w:val="24"/>
              </w:rPr>
            </w:r>
          </w:p>
        </w:tc>
      </w:tr>
      <w:tr>
        <w:trPr/>
        <w:tc>
          <w:tcPr>
            <w:tcW w:w="2545" w:type="dxa"/>
            <w:tcBorders/>
          </w:tcPr>
          <w:p>
            <w:pPr>
              <w:pStyle w:val="Normal"/>
              <w:widowControl/>
              <w:suppressAutoHyphens w:val="true"/>
              <w:spacing w:lineRule="auto" w:line="240" w:before="0" w:after="0"/>
              <w:jc w:val="end"/>
              <w:rPr>
                <w:rFonts w:ascii="Times New Roman" w:hAnsi="Times New Roman" w:cs="Times New Roman"/>
                <w:b/>
                <w:bCs/>
                <w:color w:val="000000"/>
                <w:sz w:val="24"/>
                <w:szCs w:val="24"/>
              </w:rPr>
            </w:pPr>
            <w:r>
              <w:rPr>
                <w:rFonts w:eastAsia="Calibri" w:cs="Times New Roman" w:ascii="Times New Roman" w:hAnsi="Times New Roman"/>
                <w:b/>
                <w:bCs/>
                <w:color w:val="000000"/>
                <w:kern w:val="2"/>
                <w:sz w:val="24"/>
                <w:szCs w:val="24"/>
                <w:lang w:val="lt-LT" w:eastAsia="en-US" w:bidi="ar-SA"/>
              </w:rPr>
              <w:t>Iš viso</w:t>
            </w:r>
          </w:p>
        </w:tc>
        <w:tc>
          <w:tcPr>
            <w:tcW w:w="1134" w:type="dxa"/>
            <w:tcBorders/>
          </w:tcPr>
          <w:p>
            <w:pPr>
              <w:pStyle w:val="Normal"/>
              <w:widowControl/>
              <w:suppressAutoHyphens w:val="true"/>
              <w:spacing w:lineRule="auto" w:line="240" w:before="0" w:after="0"/>
              <w:jc w:val="both"/>
              <w:rPr>
                <w:rFonts w:ascii="Calibri" w:hAnsi="Calibri" w:eastAsia="Calibri"/>
                <w:color w:val="000000"/>
              </w:rPr>
            </w:pPr>
            <w:r>
              <w:rPr>
                <w:rFonts w:eastAsia="Calibri" w:cs="Times New Roman" w:ascii="Times New Roman" w:hAnsi="Times New Roman"/>
                <w:b/>
                <w:bCs/>
                <w:color w:val="000000"/>
                <w:kern w:val="2"/>
                <w:sz w:val="24"/>
                <w:szCs w:val="24"/>
                <w:lang w:val="lt-LT" w:eastAsia="en-US" w:bidi="ar-SA"/>
              </w:rPr>
              <w:t>119</w:t>
            </w:r>
          </w:p>
        </w:tc>
        <w:tc>
          <w:tcPr>
            <w:tcW w:w="10269" w:type="dxa"/>
            <w:gridSpan w:val="3"/>
            <w:tcBorders/>
          </w:tcPr>
          <w:p>
            <w:pPr>
              <w:pStyle w:val="Normal"/>
              <w:widowControl/>
              <w:suppressAutoHyphens w:val="true"/>
              <w:spacing w:lineRule="auto" w:line="240" w:before="0" w:after="0"/>
              <w:jc w:val="start"/>
              <w:rPr>
                <w:rFonts w:ascii="Times New Roman" w:hAnsi="Times New Roman" w:cs="Times New Roman"/>
                <w:color w:val="FF0000"/>
                <w:sz w:val="24"/>
                <w:szCs w:val="24"/>
              </w:rPr>
            </w:pPr>
            <w:r>
              <w:rPr>
                <w:rFonts w:eastAsia="Calibri" w:cs="Times New Roman" w:ascii="Times New Roman" w:hAnsi="Times New Roman"/>
                <w:color w:val="000000"/>
                <w:kern w:val="2"/>
                <w:sz w:val="22"/>
                <w:szCs w:val="22"/>
                <w:lang w:val="lt-LT" w:eastAsia="en-US" w:bidi="ar-SA"/>
              </w:rPr>
              <w:t>+25 val.</w:t>
            </w:r>
            <w:r>
              <w:rPr>
                <w:rFonts w:eastAsia="Calibri" w:cs="Times New Roman" w:ascii="Times New Roman" w:hAnsi="Times New Roman"/>
                <w:kern w:val="2"/>
                <w:sz w:val="22"/>
                <w:szCs w:val="22"/>
                <w:lang w:val="lt-LT" w:eastAsia="en-US" w:bidi="ar-SA"/>
              </w:rPr>
              <w:t xml:space="preserve"> (pamokos, laisvai planuojamos mokytojo, skirtos žinių gilinimui ir tarpdalykiniams projektams)</w:t>
            </w:r>
          </w:p>
        </w:tc>
      </w:tr>
    </w:tbl>
    <w:p>
      <w:pPr>
        <w:pStyle w:val="Normal"/>
        <w:jc w:val="both"/>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Parengė vadovėlio „Matematika visiems 8“ autorės</w:t>
      </w:r>
    </w:p>
    <w:p>
      <w:pPr>
        <w:pStyle w:val="Normal"/>
        <w:spacing w:before="0" w:after="0"/>
        <w:rPr>
          <w:rFonts w:ascii="Times New Roman" w:hAnsi="Times New Roman" w:cs="Times New Roman"/>
        </w:rPr>
      </w:pPr>
      <w:r>
        <w:rPr>
          <w:rFonts w:cs="Times New Roman" w:ascii="Times New Roman" w:hAnsi="Times New Roman"/>
        </w:rPr>
      </w:r>
    </w:p>
    <w:sectPr>
      <w:type w:val="nextPage"/>
      <w:pgSz w:orient="landscape" w:w="16838" w:h="11906"/>
      <w:pgMar w:left="1440" w:right="1440" w:gutter="0" w:header="0" w:top="993" w:footer="0" w:bottom="56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Cambria Math">
    <w:charset w:val="00" w:characterSet="windows-1252"/>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1296"/>
  <w:autoHyphenation w:val="true"/>
  <w:hyphenationZone w:val="396"/>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Heading3">
    <w:name w:val="heading 3"/>
    <w:basedOn w:val="Normal"/>
    <w:next w:val="Normal"/>
    <w:link w:val="Heading3Char"/>
    <w:uiPriority w:val="9"/>
    <w:semiHidden/>
    <w:unhideWhenUsed/>
    <w:qFormat/>
    <w:rsid w:val="004758c2"/>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paragraph" w:styleId="Heading4">
    <w:name w:val="heading 4"/>
    <w:basedOn w:val="Normal"/>
    <w:link w:val="Heading4Char"/>
    <w:uiPriority w:val="9"/>
    <w:qFormat/>
    <w:rsid w:val="004758c2"/>
    <w:pPr>
      <w:spacing w:lineRule="auto" w:line="240" w:beforeAutospacing="1" w:afterAutospacing="1"/>
      <w:outlineLvl w:val="3"/>
    </w:pPr>
    <w:rPr>
      <w:rFonts w:ascii="Times New Roman" w:hAnsi="Times New Roman" w:eastAsia="Times New Roman" w:cs="Times New Roman"/>
      <w:b/>
      <w:bCs/>
      <w:kern w:val="0"/>
      <w:sz w:val="24"/>
      <w:szCs w:val="24"/>
      <w:lang w:val="en-US"/>
      <w14:ligatures w14:val="none"/>
    </w:rPr>
  </w:style>
  <w:style w:type="character" w:styleId="DefaultParagraphFont" w:default="1">
    <w:name w:val="Default Paragraph Font"/>
    <w:uiPriority w:val="1"/>
    <w:semiHidden/>
    <w:unhideWhenUsed/>
    <w:qFormat/>
    <w:rPr/>
  </w:style>
  <w:style w:type="character" w:styleId="Heading4Char" w:customStyle="1">
    <w:name w:val="Heading 4 Char"/>
    <w:basedOn w:val="DefaultParagraphFont"/>
    <w:uiPriority w:val="9"/>
    <w:qFormat/>
    <w:rsid w:val="004758c2"/>
    <w:rPr>
      <w:rFonts w:ascii="Times New Roman" w:hAnsi="Times New Roman" w:eastAsia="Times New Roman" w:cs="Times New Roman"/>
      <w:b/>
      <w:bCs/>
      <w:kern w:val="0"/>
      <w:sz w:val="24"/>
      <w:szCs w:val="24"/>
      <w:lang w:val="en-US"/>
      <w14:ligatures w14:val="none"/>
    </w:rPr>
  </w:style>
  <w:style w:type="character" w:styleId="Heading3Char" w:customStyle="1">
    <w:name w:val="Heading 3 Char"/>
    <w:basedOn w:val="DefaultParagraphFont"/>
    <w:uiPriority w:val="9"/>
    <w:semiHidden/>
    <w:qFormat/>
    <w:rsid w:val="004758c2"/>
    <w:rPr>
      <w:rFonts w:ascii="Calibri Light" w:hAnsi="Calibri Light" w:eastAsia="" w:cs="" w:asciiTheme="majorHAnsi" w:cstheme="majorBidi" w:eastAsiaTheme="majorEastAsia" w:hAnsiTheme="majorHAnsi"/>
      <w:color w:themeColor="accent1" w:themeShade="7f" w:val="1F3763"/>
      <w:sz w:val="24"/>
      <w:szCs w:val="24"/>
    </w:rPr>
  </w:style>
  <w:style w:type="character" w:styleId="PlaceholderText">
    <w:name w:val="Placeholder Text"/>
    <w:basedOn w:val="DefaultParagraphFont"/>
    <w:uiPriority w:val="99"/>
    <w:semiHidden/>
    <w:qFormat/>
    <w:rsid w:val="00d52ffc"/>
    <w:rPr>
      <w:color w:val="808080"/>
    </w:rPr>
  </w:style>
  <w:style w:type="character" w:styleId="Hyperlink1" w:customStyle="1">
    <w:name w:val="Hyperlink1"/>
    <w:uiPriority w:val="99"/>
    <w:unhideWhenUsed/>
    <w:qFormat/>
    <w:rsid w:val="00dc5031"/>
    <w:rPr>
      <w:color w:val="000080"/>
      <w:u w:val="single"/>
    </w:rPr>
  </w:style>
  <w:style w:type="character" w:styleId="Hyperlink">
    <w:name w:val="Hyperlink"/>
    <w:rPr>
      <w:color w:val="000080"/>
      <w:u w:val="single"/>
    </w:rPr>
  </w:style>
  <w:style w:type="paragraph" w:styleId="Antrat" w:customStyle="1">
    <w:name w:val="Antraštė"/>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odykl" w:customStyle="1">
    <w:name w:val="Rodyklė"/>
    <w:basedOn w:val="Normal"/>
    <w:qFormat/>
    <w:pPr>
      <w:suppressLineNumbers/>
    </w:pPr>
    <w:rPr>
      <w:rFonts w:cs="Arial"/>
    </w:rPr>
  </w:style>
  <w:style w:type="paragraph" w:styleId="Antratuser" w:customStyle="1">
    <w:name w:val="Antraštė (user)"/>
    <w:basedOn w:val="Normal"/>
    <w:next w:val="BodyText"/>
    <w:qFormat/>
    <w:pPr>
      <w:keepNext w:val="true"/>
      <w:spacing w:before="240" w:after="120"/>
    </w:pPr>
    <w:rPr>
      <w:rFonts w:ascii="Liberation Sans" w:hAnsi="Liberation Sans" w:eastAsia="Microsoft YaHei" w:cs="Lucida Sans"/>
      <w:sz w:val="28"/>
      <w:szCs w:val="28"/>
    </w:rPr>
  </w:style>
  <w:style w:type="paragraph" w:styleId="Rodykluser" w:customStyle="1">
    <w:name w:val="Rodyklė (user)"/>
    <w:basedOn w:val="Normal"/>
    <w:qFormat/>
    <w:pPr>
      <w:suppressLineNumbers/>
    </w:pPr>
    <w:rPr>
      <w:rFonts w:cs="Lucida Sans"/>
    </w:rPr>
  </w:style>
  <w:style w:type="paragraph" w:styleId="ListParagraph">
    <w:name w:val="List Paragraph"/>
    <w:basedOn w:val="Normal"/>
    <w:uiPriority w:val="34"/>
    <w:qFormat/>
    <w:rsid w:val="00923d0a"/>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25ec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mokykla.lt/bendrosios-programos/visos-bendrosios-programo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32</TotalTime>
  <Application>LibreOffice/26.2.4.2$Windows_X86_64 LibreOffice_project/0229ac93fcf0d7cbc6376066c6f35021cef002dc</Application>
  <AppVersion>15.0000</AppVersion>
  <Pages>11</Pages>
  <Words>3316</Words>
  <Characters>23315</Characters>
  <CharactersWithSpaces>26397</CharactersWithSpaces>
  <Paragraphs>308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2026-08-27T10:41:00Z</dcterms:created>
  <dc:creator>VILMA PIPIRIENĖ</dc:creator>
  <dc:description/>
  <dc:language>lt-LT</dc:language>
  <cp:lastModifiedBy/>
  <cp:lastPrinted>2024-08-14T14:14:00Z</cp:lastPrinted>
  <dcterms:modified xsi:type="dcterms:W3CDTF">2026-08-27T18:14:16Z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