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textAlignment w:val="baseline"/>
        <w:rPr>
          <w:rFonts w:ascii="Times New Roman" w:hAnsi="Times New Roman" w:cs="Times New Roman"/>
          <w:b/>
          <w:sz w:val="28"/>
          <w:szCs w:val="28"/>
        </w:rPr>
      </w:pPr>
      <w:r>
        <w:rPr>
          <w:rFonts w:cs="Times New Roman" w:ascii="Times New Roman" w:hAnsi="Times New Roman"/>
          <w:b/>
          <w:sz w:val="28"/>
          <w:szCs w:val="28"/>
        </w:rPr>
        <w:t>MATEMATIKOS MOKYMO(SI) ILGALAIKIO PLANO 7 KLASEI PAVYZDYS</w:t>
      </w:r>
    </w:p>
    <w:p>
      <w:pPr>
        <w:pStyle w:val="Normal"/>
        <w:spacing w:before="0" w:after="120"/>
        <w:textAlignment w:val="baseline"/>
        <w:rPr>
          <w:rFonts w:ascii="Times New Roman" w:hAnsi="Times New Roman" w:cs="Times New Roman"/>
          <w:b/>
          <w:sz w:val="28"/>
          <w:szCs w:val="28"/>
        </w:rPr>
      </w:pPr>
      <w:r>
        <w:rPr>
          <w:rFonts w:eastAsia="Times New Roman" w:cs="Times New Roman" w:ascii="Times New Roman" w:hAnsi="Times New Roman"/>
          <w:b/>
          <w:bCs/>
          <w:color w:val="333333"/>
          <w:kern w:val="0"/>
          <w:sz w:val="27"/>
          <w:szCs w:val="27"/>
          <w14:ligatures w14:val="none"/>
        </w:rPr>
        <w:t>Tikslas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b/>
          <w:bCs/>
          <w:color w:val="333333"/>
          <w:kern w:val="0"/>
          <w:sz w:val="27"/>
          <w:szCs w:val="27"/>
          <w14:ligatures w14:val="none"/>
        </w:rPr>
        <w:t>Uždaviniai</w:t>
      </w:r>
    </w:p>
    <w:p>
      <w:pPr>
        <w:pStyle w:val="Normal"/>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Siekdami tikslo mokiniai:</w:t>
      </w:r>
    </w:p>
    <w:p>
      <w:pPr>
        <w:pStyle w:val="Normal"/>
        <w:numPr>
          <w:ilvl w:val="0"/>
          <w:numId w:val="1"/>
        </w:numPr>
        <w:shd w:val="clear" w:color="auto" w:fill="FFFFFF"/>
        <w:spacing w:lineRule="auto" w:line="240" w:before="0" w:after="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tinkamai ir tikslingai vartoja matematinius faktus; sklandžiai atlieka matematines procedūras; įgytas žinias sieja tarpusavyje, sistemina, struktūruoja; įžvelgia matematikos ryšius su kitais dalykais;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įvairiuose kontekstuose taiko indukcinį ir dedukcinį, kiekybinį ir statistinį samprotavimą; remiasi žiniomis, logika ir patikimais argumentais, formuluodami, analizuodami, įrodinėdami teiginius, spręsdami uždavinius, darydami išvadas ar vertinimus;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bendradarbiaudami su kitais, nagrinėja įvairiomis formomis pateiktus matematinius pranešimus, dalyvauja diskusijose apie komunikavimo tikslą, adresatą, pranešimu perteikiamų minčių tikslumą, logiškumą, pagrįstumą, išsamumą, glaustumą;</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 xml:space="preserve">yra nusiteikę ir </w:t>
      </w:r>
      <w:r>
        <w:rPr>
          <w:rFonts w:eastAsia="Times New Roman" w:cs="Times New Roman" w:ascii="Times New Roman" w:hAnsi="Times New Roman"/>
          <w:kern w:val="0"/>
          <w:sz w:val="21"/>
          <w:szCs w:val="21"/>
          <w14:ligatures w14:val="none"/>
        </w:rPr>
        <w:t>stengiasi įveikti matematikos mokymosi kliūtis</w:t>
      </w:r>
      <w:r>
        <w:rPr>
          <w:rFonts w:eastAsia="Times New Roman" w:cs="Times New Roman" w:ascii="Times New Roman" w:hAnsi="Times New Roman"/>
          <w:color w:val="333333"/>
          <w:kern w:val="0"/>
          <w:sz w:val="21"/>
          <w:szCs w:val="21"/>
          <w14:ligatures w14:val="none"/>
        </w:rPr>
        <w:t>; tikslingai planuoja ir organizuoja mokymosi veiklą; siekdami mokytis matematikos ir ją pažinti, turi žinių, gebėjimų ir polinkį naudotis skaitmeninėmis technologijomis;</w:t>
      </w:r>
    </w:p>
    <w:p>
      <w:pPr>
        <w:pStyle w:val="Normal"/>
        <w:numPr>
          <w:ilvl w:val="0"/>
          <w:numId w:val="1"/>
        </w:numPr>
        <w:shd w:val="clear" w:color="auto" w:fill="FFFFFF"/>
        <w:spacing w:lineRule="auto" w:line="24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pPr>
        <w:pStyle w:val="Normal"/>
        <w:shd w:val="clear" w:color="auto" w:fill="FFFFFF"/>
        <w:spacing w:lineRule="auto" w:line="240" w:beforeAutospacing="1" w:after="160"/>
        <w:jc w:val="both"/>
        <w:rPr>
          <w:rFonts w:ascii="Times New Roman" w:hAnsi="Times New Roman" w:eastAsia="Times New Roman" w:cs="Times New Roman"/>
          <w:color w:val="333333"/>
          <w:kern w:val="0"/>
          <w:sz w:val="21"/>
          <w:szCs w:val="21"/>
          <w14:ligatures w14:val="none"/>
        </w:rPr>
      </w:pPr>
      <w:r>
        <w:rPr>
          <w:rFonts w:cs="Times New Roman" w:ascii="Times New Roman" w:hAnsi="Times New Roman"/>
          <w:color w:val="333333"/>
          <w:sz w:val="33"/>
          <w:szCs w:val="33"/>
        </w:rPr>
        <w:t>Kompetencijų ugdymas</w:t>
      </w:r>
    </w:p>
    <w:p>
      <w:pPr>
        <w:pStyle w:val="Normal"/>
        <w:shd w:val="clear" w:color="auto" w:fill="FFFFFF"/>
        <w:jc w:val="both"/>
        <w:rPr>
          <w:rFonts w:ascii="Times New Roman" w:hAnsi="Times New Roman" w:cs="Times New Roman"/>
          <w:color w:val="333333"/>
          <w:sz w:val="21"/>
          <w:szCs w:val="21"/>
        </w:rPr>
      </w:pPr>
      <w:r>
        <w:rPr>
          <w:rFonts w:cs="Times New Roman" w:ascii="Times New Roman" w:hAnsi="Times New Roman"/>
          <w:color w:val="333333"/>
          <w:sz w:val="21"/>
          <w:szCs w:val="21"/>
        </w:rPr>
        <w:t>Įgyvendinant Programą ugdomos šios kompetencijos: pažinimo, kūrybiškumo, komunikavimo, skaitmeninė, pilietiškumo, socialinė, emocinė ir sveikos gyvensenos, kultūrinė. Jos pateiktos pagal kompetencijos ugdymo intensyvumą.</w:t>
      </w:r>
    </w:p>
    <w:p>
      <w:pPr>
        <w:pStyle w:val="Normal"/>
        <w:spacing w:beforeAutospacing="1" w:after="120"/>
        <w:jc w:val="both"/>
        <w:rPr>
          <w:rFonts w:ascii="Times New Roman" w:hAnsi="Times New Roman" w:cs="Times New Roman"/>
        </w:rPr>
      </w:pPr>
      <w:r>
        <w:rPr>
          <w:rFonts w:cs="Times New Roman" w:ascii="Times New Roman" w:hAnsi="Times New Roman"/>
        </w:rPr>
        <w:t>UGDOMOS KOMPETENCIJOS:</w:t>
      </w:r>
    </w:p>
    <w:p>
      <w:pPr>
        <w:pStyle w:val="Normal"/>
        <w:spacing w:before="0" w:after="0"/>
        <w:jc w:val="both"/>
        <w:rPr>
          <w:rFonts w:ascii="Times New Roman" w:hAnsi="Times New Roman" w:cs="Times New Roman"/>
        </w:rPr>
      </w:pPr>
      <w:r>
        <w:rPr>
          <w:rFonts w:cs="Times New Roman" w:ascii="Times New Roman" w:hAnsi="Times New Roman"/>
          <w:b/>
        </w:rPr>
        <w:t xml:space="preserve">Pažinimo kompetencija (K1) </w:t>
      </w:r>
      <w:r>
        <w:rPr>
          <w:rFonts w:cs="Times New Roman" w:ascii="Times New Roman" w:hAnsi="Times New Roman"/>
        </w:rPr>
        <w:t>(dalyko žinios ir gebėjimai; kritinis mąstymas; problemų sprendimas; mokėjimas mokytis)</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pPr>
        <w:pStyle w:val="Normal"/>
        <w:spacing w:before="0" w:after="0"/>
        <w:jc w:val="both"/>
        <w:rPr>
          <w:rFonts w:ascii="Times New Roman" w:hAnsi="Times New Roman" w:cs="Times New Roman"/>
        </w:rPr>
      </w:pPr>
      <w:r>
        <w:rPr>
          <w:rFonts w:cs="Times New Roman" w:ascii="Times New Roman" w:hAnsi="Times New Roman"/>
          <w:b/>
        </w:rPr>
        <w:t>Komunikavimo kompetencija (K2)</w:t>
      </w:r>
      <w:r>
        <w:rPr>
          <w:rFonts w:cs="Times New Roman" w:ascii="Times New Roman" w:hAnsi="Times New Roman"/>
        </w:rPr>
        <w:t xml:space="preserve"> (pranešimo kūrimas; pranešimo perteikimas ir komunikacinė sąveika; pranešimo analizė ir interpretavimas)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pPr>
        <w:pStyle w:val="Normal"/>
        <w:spacing w:before="0" w:after="0"/>
        <w:jc w:val="both"/>
        <w:rPr>
          <w:rFonts w:ascii="Times New Roman" w:hAnsi="Times New Roman" w:cs="Times New Roman"/>
          <w:b/>
          <w:bCs/>
        </w:rPr>
      </w:pPr>
      <w:r>
        <w:rPr>
          <w:rFonts w:cs="Times New Roman" w:ascii="Times New Roman" w:hAnsi="Times New Roman"/>
          <w:b/>
          <w:bCs/>
        </w:rPr>
        <w:t xml:space="preserve">Skaitmeninė kompetencija (K3) </w:t>
      </w:r>
      <w:r>
        <w:rPr>
          <w:rFonts w:cs="Times New Roman" w:ascii="Times New Roman" w:hAnsi="Times New Roman"/>
          <w:sz w:val="24"/>
          <w:szCs w:val="24"/>
        </w:rPr>
        <w:t>(tikslingas, saugus ir etiškas skaitmeninių priemonių bei įrankių naudojimas; informacijos paieška; bendravimas ir bendradarbiavimas)</w:t>
      </w:r>
    </w:p>
    <w:p>
      <w:pPr>
        <w:pStyle w:val="Normal"/>
        <w:jc w:val="both"/>
        <w:rPr>
          <w:rFonts w:ascii="Times New Roman" w:hAnsi="Times New Roman" w:cs="Times New Roman"/>
          <w:b/>
          <w:bCs/>
          <w:i/>
          <w:iCs/>
        </w:rPr>
      </w:pPr>
      <w:r>
        <w:rPr>
          <w:rFonts w:cs="Times New Roman" w:ascii="Times New Roman" w:hAnsi="Times New Roman"/>
          <w:i/>
          <w:iCs/>
          <w:color w:val="333333"/>
          <w:sz w:val="21"/>
          <w:szCs w:val="21"/>
          <w:shd w:fill="FFFFFF" w:val="clear"/>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pPr>
        <w:pStyle w:val="Normal"/>
        <w:spacing w:before="0" w:after="0"/>
        <w:jc w:val="both"/>
        <w:rPr>
          <w:rFonts w:ascii="Times New Roman" w:hAnsi="Times New Roman" w:cs="Times New Roman"/>
        </w:rPr>
      </w:pPr>
      <w:r>
        <w:rPr>
          <w:rFonts w:cs="Times New Roman" w:ascii="Times New Roman" w:hAnsi="Times New Roman"/>
          <w:b/>
        </w:rPr>
        <w:t>Kūrybiškumo kompetencija (K4)</w:t>
      </w:r>
      <w:r>
        <w:rPr>
          <w:rFonts w:cs="Times New Roman" w:ascii="Times New Roman" w:hAnsi="Times New Roman"/>
        </w:rPr>
        <w:t xml:space="preserve"> (tyrinėjimas; generavimas; kūrimas; vertinimas ir refleksija)</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pPr>
        <w:pStyle w:val="Normal"/>
        <w:spacing w:before="0" w:after="0"/>
        <w:jc w:val="both"/>
        <w:rPr>
          <w:rFonts w:ascii="Times New Roman" w:hAnsi="Times New Roman" w:cs="Times New Roman"/>
        </w:rPr>
      </w:pPr>
      <w:r>
        <w:rPr>
          <w:rFonts w:cs="Times New Roman" w:ascii="Times New Roman" w:hAnsi="Times New Roman"/>
          <w:b/>
        </w:rPr>
        <w:t>Kultūrinė kompetencija (K5)</w:t>
      </w:r>
      <w:r>
        <w:rPr>
          <w:rFonts w:cs="Times New Roman" w:ascii="Times New Roman" w:hAnsi="Times New Roman"/>
        </w:rPr>
        <w:t xml:space="preserve"> (kultūrinis išprusimas; kultūrinė raiška; kultūrinis sąmoningumas)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pPr>
        <w:pStyle w:val="Normal"/>
        <w:spacing w:before="0" w:after="0"/>
        <w:jc w:val="both"/>
        <w:rPr>
          <w:rFonts w:ascii="Times New Roman" w:hAnsi="Times New Roman" w:cs="Times New Roman"/>
        </w:rPr>
      </w:pPr>
      <w:r>
        <w:rPr>
          <w:rFonts w:cs="Times New Roman" w:ascii="Times New Roman" w:hAnsi="Times New Roman"/>
          <w:b/>
        </w:rPr>
        <w:t>Pilietiškumo kompetencija (K6)</w:t>
      </w:r>
      <w:r>
        <w:rPr>
          <w:rFonts w:cs="Times New Roman" w:ascii="Times New Roman" w:hAnsi="Times New Roman"/>
        </w:rPr>
        <w:t xml:space="preserve"> (pilietinis tapatumas ir pilietinė galia; gyvenimas bendruomenėje kuriant demokratišką visuomenę; pagarba žmogaus teisėms ir laisvėms; valstybės kūrimas ir valstybingumo stiprinimas tarptautinėje bendruomenėje)</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pPr>
        <w:pStyle w:val="Normal"/>
        <w:spacing w:before="0" w:after="0"/>
        <w:jc w:val="both"/>
        <w:rPr>
          <w:rFonts w:ascii="Times New Roman" w:hAnsi="Times New Roman" w:cs="Times New Roman"/>
        </w:rPr>
      </w:pPr>
      <w:r>
        <w:rPr>
          <w:rFonts w:cs="Times New Roman" w:ascii="Times New Roman" w:hAnsi="Times New Roman"/>
          <w:b/>
        </w:rPr>
        <w:t>Socialinė, emocinė ir sveikos gyvensenos kompetencija (K7)</w:t>
      </w:r>
      <w:r>
        <w:rPr>
          <w:rFonts w:cs="Times New Roman" w:ascii="Times New Roman" w:hAnsi="Times New Roman"/>
        </w:rPr>
        <w:t xml:space="preserve"> (savimonė ir savitvardos įgūdžiai; empatiškumas, socialinis sąmoningumas ir teigiamų tarpusavio santykių kūrimas; atsakingas sprendimų priėmimas ir elgesys įvertinant pasekmes; rūpinimasis sveikata)</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Pr>
          <w:rFonts w:cs="Times New Roman" w:ascii="Times New Roman" w:hAnsi="Times New Roman"/>
          <w:i/>
          <w:iCs/>
          <w:color w:val="009900"/>
          <w:sz w:val="21"/>
          <w:szCs w:val="21"/>
          <w:shd w:fill="FFFFFF" w:val="clear"/>
        </w:rPr>
        <w:t xml:space="preserve"> </w:t>
      </w:r>
      <w:r>
        <w:rPr>
          <w:rFonts w:cs="Times New Roman" w:ascii="Times New Roman" w:hAnsi="Times New Roman"/>
          <w:i/>
          <w:iCs/>
          <w:color w:val="333333"/>
          <w:sz w:val="21"/>
          <w:szCs w:val="21"/>
          <w:shd w:fill="FFFFFF" w:val="clear"/>
        </w:rPr>
        <w:t>kaip efektyvus savo veiklos planavimas, organizavimas ir valdymas, gebėjimas prisiimti atsakomybę, dirbant individualiai ir su kitais. Augantis pasitikėjimas savo jėgomis, mokantis matematikos, sudaro prielaidas emocinei ir socialinei asmens gerovei.</w:t>
      </w:r>
    </w:p>
    <w:p>
      <w:pPr>
        <w:pStyle w:val="Normal"/>
        <w:jc w:val="both"/>
        <w:rPr>
          <w:rFonts w:ascii="Times New Roman" w:hAnsi="Times New Roman" w:cs="Times New Roman"/>
          <w:i/>
          <w:iCs/>
        </w:rPr>
      </w:pPr>
      <w:r>
        <w:rPr>
          <w:rFonts w:cs="Times New Roman" w:ascii="Times New Roman" w:hAnsi="Times New Roman"/>
          <w:color w:val="333333"/>
          <w:sz w:val="33"/>
          <w:szCs w:val="33"/>
        </w:rPr>
        <w:t>Pasiekimų vertinimas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Mokinių pažangos ir pasiekimų vertinimas yra esminė ugdymo turinio dalis.</w:t>
      </w:r>
      <w:r>
        <w:rPr>
          <w:rFonts w:cs="Times New Roman" w:ascii="Times New Roman" w:hAnsi="Times New Roman"/>
          <w:color w:val="009900"/>
          <w:sz w:val="21"/>
          <w:szCs w:val="21"/>
        </w:rPr>
        <w:t xml:space="preserve"> </w:t>
      </w:r>
      <w:r>
        <w:rPr>
          <w:rFonts w:cs="Times New Roman" w:ascii="Times New Roman" w:hAnsi="Times New Roman"/>
          <w:color w:val="333333"/>
          <w:sz w:val="21"/>
          <w:szCs w:val="21"/>
        </w:rPr>
        <w:t>Pamokoje per visą mokymo(si) laikotarpį taikomas ugdomasis (formuojamasis) ir apibendrinamasis vertinimas. 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Numatyti keturi pasiekimų lygiai: slenkstinis (1), patenkinamas (2), pagrindinis (3), aukštesnysis (4). Mokinio mokymosi pasiekimai ugdymo laikotarpio pabaigoje apibendrinami ir vertinimo rezultatas fiksuojamas balu, taikant 10 balų vertinimo sistemą. Pasiekimų lygiai ir įvertinimai siejami: slenkstinis lygis – 4, patenkinamas lygis – 5 - 6, pagrindinis lygis – 7 - 8, aukštesnysis lygis – 9 - 10.</w:t>
      </w:r>
    </w:p>
    <w:p>
      <w:pPr>
        <w:pStyle w:val="Normal"/>
        <w:spacing w:beforeAutospacing="1" w:after="120"/>
        <w:jc w:val="both"/>
        <w:rPr>
          <w:rFonts w:ascii="Times New Roman" w:hAnsi="Times New Roman" w:cs="Times New Roman"/>
        </w:rPr>
      </w:pPr>
      <w:r>
        <w:rPr>
          <w:rFonts w:cs="Times New Roman" w:ascii="Times New Roman" w:hAnsi="Times New Roman"/>
        </w:rPr>
        <w:t>UGDOMI MATEMATIKOS PASIEKIMAI:</w:t>
      </w:r>
    </w:p>
    <w:p>
      <w:pPr>
        <w:pStyle w:val="Normal"/>
        <w:spacing w:before="0" w:after="0"/>
        <w:jc w:val="both"/>
        <w:rPr>
          <w:rFonts w:ascii="Times New Roman" w:hAnsi="Times New Roman" w:cs="Times New Roman"/>
          <w:b/>
        </w:rPr>
      </w:pPr>
      <w:r>
        <w:rPr>
          <w:rFonts w:cs="Times New Roman" w:ascii="Times New Roman" w:hAnsi="Times New Roman"/>
          <w:b/>
        </w:rPr>
        <w:t>Gilus supratimas ir argumentavimas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A1. </w:t>
      </w:r>
      <w:r>
        <w:rPr>
          <w:rFonts w:cs="Times New Roman" w:ascii="Times New Roman" w:hAnsi="Times New Roman"/>
        </w:rPr>
        <w:t>Tinkamai atlieka matematines procedūras, argumentuoja, kodėl jas taip atlieka.</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A2. Tyrinėja matematinius objektus, formuluoja hipotezes apie bendras jų savybes ir vietą anksčiau nagrinėtų objektų sistemoje.</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A3. Sukuria nuoseklią, logiškai pagrįstą teiginių seką ar užduoties sprendimą, vertina argumentavimo logiškumą, įrodo matematinius teiginius.</w:t>
      </w:r>
    </w:p>
    <w:p>
      <w:pPr>
        <w:pStyle w:val="Normal"/>
        <w:jc w:val="both"/>
        <w:rPr>
          <w:rFonts w:ascii="Times New Roman" w:hAnsi="Times New Roman" w:cs="Times New Roman"/>
          <w:lang w:eastAsia="lt-LT"/>
        </w:rPr>
      </w:pPr>
      <w:r>
        <w:rPr>
          <w:rFonts w:cs="Times New Roman" w:ascii="Times New Roman" w:hAnsi="Times New Roman"/>
          <w:lang w:eastAsia="lt-LT"/>
        </w:rPr>
        <w:t>A4. Planuoja, stebi, apmąsto, įsivertina matematikos mokymosi procesą ir rezultatus.</w:t>
      </w:r>
    </w:p>
    <w:p>
      <w:pPr>
        <w:pStyle w:val="Normal"/>
        <w:spacing w:before="0" w:after="0"/>
        <w:jc w:val="both"/>
        <w:rPr>
          <w:rFonts w:ascii="Times New Roman" w:hAnsi="Times New Roman" w:cs="Times New Roman"/>
          <w:b/>
        </w:rPr>
      </w:pPr>
      <w:r>
        <w:rPr>
          <w:rFonts w:cs="Times New Roman" w:ascii="Times New Roman" w:hAnsi="Times New Roman"/>
          <w:b/>
        </w:rPr>
        <w:t>Matematinis komunikavimas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B1. </w:t>
      </w:r>
      <w:r>
        <w:rPr>
          <w:rFonts w:cs="Times New Roman" w:ascii="Times New Roman" w:hAnsi="Times New Roman"/>
          <w:bCs/>
          <w:lang w:eastAsia="lt-LT"/>
        </w:rPr>
        <w:t>Analizuoja ir interpretuoja įvairiomis formomis (tekstu, paveikslu, schema, formule, lentele, brėžiniu, grafiku, diagrama) pateikto matematinio pranešimo elementų loginius ryšius.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B2. Atpažįsta, apibrėžia ir tinkamai vartoja matematinius faktus – terminus, žymėjimą, objektus, įprastus algoritmus ir operacijas. </w:t>
      </w:r>
    </w:p>
    <w:p>
      <w:pPr>
        <w:pStyle w:val="Normal"/>
        <w:jc w:val="both"/>
        <w:rPr>
          <w:rFonts w:ascii="Times New Roman" w:hAnsi="Times New Roman" w:cs="Times New Roman"/>
          <w:lang w:eastAsia="lt-LT"/>
        </w:rPr>
      </w:pPr>
      <w:r>
        <w:rPr>
          <w:rFonts w:cs="Times New Roman" w:ascii="Times New Roman" w:hAnsi="Times New Roman"/>
          <w:lang w:eastAsia="lt-LT"/>
        </w:rPr>
        <w:t>B3. Kuria, pristato matematinį pranešimą: atsirenka reikiamą informaciją, naudojasi tinkamomis fizinėmis ir skaitmeninėmis priemonėmis, formomis, tinkamai cituoja šaltinius.</w:t>
      </w:r>
    </w:p>
    <w:p>
      <w:pPr>
        <w:pStyle w:val="Normal"/>
        <w:spacing w:before="0" w:after="0"/>
        <w:jc w:val="both"/>
        <w:rPr>
          <w:rFonts w:ascii="Times New Roman" w:hAnsi="Times New Roman" w:cs="Times New Roman"/>
          <w:b/>
        </w:rPr>
      </w:pPr>
      <w:r>
        <w:rPr>
          <w:rFonts w:cs="Times New Roman" w:ascii="Times New Roman" w:hAnsi="Times New Roman"/>
          <w:b/>
        </w:rPr>
        <w:t>Problemų sprendimas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C1. Analizuoja įvairias problemines situacijas, pasiūlo matematinį modelį problemai išspręsti. </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C2. Pasiūlo, vertina alternatyvias matematinės užduoties sprendimo strategijas, sudaro užduoties sprendimo planą ir jį įgyvendina. </w:t>
      </w:r>
    </w:p>
    <w:p>
      <w:pPr>
        <w:pStyle w:val="Normal"/>
        <w:tabs>
          <w:tab w:val="clear" w:pos="1296"/>
          <w:tab w:val="left" w:pos="2169" w:leader="none"/>
          <w:tab w:val="center" w:pos="4986" w:leader="none"/>
        </w:tabs>
        <w:jc w:val="both"/>
        <w:rPr>
          <w:rFonts w:ascii="Times New Roman" w:hAnsi="Times New Roman" w:cs="Times New Roman"/>
          <w:lang w:eastAsia="lt-LT"/>
        </w:rPr>
      </w:pPr>
      <w:r>
        <w:rPr>
          <w:rFonts w:cs="Times New Roman" w:ascii="Times New Roman" w:hAnsi="Times New Roman"/>
          <w:lang w:eastAsia="lt-LT"/>
        </w:rPr>
        <w:t>C3. Įvertina matematinės veiklos rezultatus, daro pagrįstas išvadas, jas interpretuoja.</w:t>
      </w:r>
    </w:p>
    <w:p>
      <w:pPr>
        <w:pStyle w:val="Normal"/>
        <w:spacing w:beforeAutospacing="1" w:after="120"/>
        <w:jc w:val="both"/>
        <w:rPr>
          <w:rFonts w:ascii="Times New Roman" w:hAnsi="Times New Roman" w:cs="Times New Roman"/>
        </w:rPr>
      </w:pPr>
      <w:r>
        <w:rPr>
          <w:rFonts w:cs="Times New Roman" w:ascii="Times New Roman" w:hAnsi="Times New Roman"/>
        </w:rPr>
        <w:t>VERTINIMAS</w:t>
      </w:r>
    </w:p>
    <w:p>
      <w:pPr>
        <w:pStyle w:val="Normal"/>
        <w:jc w:val="both"/>
        <w:rPr>
          <w:rFonts w:ascii="Times New Roman" w:hAnsi="Times New Roman" w:cs="Times New Roman"/>
        </w:rPr>
      </w:pPr>
      <w:r>
        <w:rPr>
          <w:rFonts w:cs="Times New Roman" w:ascii="Times New Roman" w:hAnsi="Times New Roman"/>
        </w:rPr>
        <w:t>Mokinių pasiekimai vertinami vadovaujantis mokykloje patvirtintu mokinių pažangos ir pasiekimų vertinimo aprašu. Nuolat taikomas formuojamasis vertinimas</w:t>
      </w:r>
      <w:r>
        <w:rPr>
          <w:rFonts w:cs="Times New Roman" w:ascii="Times New Roman" w:hAnsi="Times New Roman"/>
          <w:color w:val="009900"/>
        </w:rPr>
        <w:t xml:space="preserve">, </w:t>
      </w:r>
      <w:r>
        <w:rPr>
          <w:rFonts w:cs="Times New Roman" w:ascii="Times New Roman" w:hAnsi="Times New Roman"/>
        </w:rPr>
        <w:t>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pPr>
        <w:pStyle w:val="Normal"/>
        <w:spacing w:beforeAutospacing="1" w:after="120"/>
        <w:ind w:hanging="4111" w:start="4111"/>
        <w:jc w:val="both"/>
        <w:rPr>
          <w:rFonts w:ascii="Times New Roman" w:hAnsi="Times New Roman" w:cs="Times New Roman"/>
          <w:color w:val="000000"/>
        </w:rPr>
      </w:pPr>
      <w:r>
        <w:rPr>
          <w:rFonts w:cs="Times New Roman" w:ascii="Times New Roman" w:hAnsi="Times New Roman"/>
        </w:rPr>
        <w:t>MOKYMO IR MOKYMOSI PRIEMONĖS: vadovėlis „MATEMATIKA VISIEMS 7“, 2 dalys. Vida Meškauskaitė, Vilma Pipirienė, Žydrūnė Stundžienė, leidykla „TEV“, 2024 m.</w:t>
      </w:r>
    </w:p>
    <w:p>
      <w:pPr>
        <w:pStyle w:val="Normal"/>
        <w:spacing w:lineRule="auto" w:line="276" w:before="0" w:after="120"/>
        <w:jc w:val="both"/>
        <w:rPr>
          <w:rFonts w:ascii="Times New Roman" w:hAnsi="Times New Roman" w:cs="Times New Roman"/>
        </w:rPr>
      </w:pPr>
      <w:r>
        <w:rPr>
          <w:rFonts w:cs="Times New Roman" w:ascii="Times New Roman" w:hAnsi="Times New Roman"/>
        </w:rPr>
        <w:t>PAMOKŲ SKAIČIUS: 4 pamokos per savaitę, iš viso 148 pamokos.</w:t>
      </w:r>
    </w:p>
    <w:p>
      <w:pPr>
        <w:pStyle w:val="Normal"/>
        <w:spacing w:lineRule="auto" w:line="276" w:before="0" w:after="120"/>
        <w:jc w:val="both"/>
        <w:rPr>
          <w:rFonts w:ascii="Times New Roman" w:hAnsi="Times New Roman" w:cs="Times New Roman"/>
        </w:rPr>
      </w:pPr>
      <w:r>
        <w:rPr>
          <w:rFonts w:cs="Times New Roman" w:ascii="Times New Roman" w:hAnsi="Times New Roman"/>
        </w:rPr>
        <w:t xml:space="preserve">Ilgalaikis planas parengtas pagal Pagrindinio ugdymo matematikos bendrąją programą, 2022; Įsak. Nr. V-1269; </w:t>
      </w:r>
    </w:p>
    <w:p>
      <w:pPr>
        <w:pStyle w:val="Normal"/>
        <w:spacing w:lineRule="auto" w:line="276" w:before="0" w:after="120"/>
        <w:jc w:val="both"/>
        <w:rPr>
          <w:rFonts w:ascii="Times New Roman" w:hAnsi="Times New Roman" w:cs="Times New Roman"/>
        </w:rPr>
      </w:pPr>
      <w:hyperlink r:id="rId2">
        <w:r>
          <w:rPr>
            <w:rStyle w:val="Hyperlink"/>
            <w:rFonts w:cs="Times New Roman" w:ascii="Times New Roman" w:hAnsi="Times New Roman"/>
          </w:rPr>
          <w:t>https://www.emokykla.lt/bendrosios-programos/visos-bendrosios-programos</w:t>
        </w:r>
      </w:hyperlink>
    </w:p>
    <w:tbl>
      <w:tblPr>
        <w:tblStyle w:val="TableGrid"/>
        <w:tblW w:w="13948"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2545"/>
        <w:gridCol w:w="1134"/>
        <w:gridCol w:w="4963"/>
        <w:gridCol w:w="2516"/>
        <w:gridCol w:w="2790"/>
      </w:tblGrid>
      <w:tr>
        <w:trPr>
          <w:tblHeader w:val="true"/>
        </w:trPr>
        <w:tc>
          <w:tcPr>
            <w:tcW w:w="2545"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Mokymo(si) turinys</w:t>
            </w:r>
          </w:p>
        </w:tc>
        <w:tc>
          <w:tcPr>
            <w:tcW w:w="1134"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 xml:space="preserve">Valandų skaičius (70 </w:t>
            </w:r>
            <w:r>
              <w:rPr>
                <w:rFonts w:eastAsia="Calibri" w:cs="Times New Roman" w:ascii="Times New Roman" w:hAnsi="Times New Roman"/>
                <w:b/>
                <w:bCs/>
                <w:kern w:val="2"/>
                <w:sz w:val="22"/>
                <w:szCs w:val="22"/>
                <w:lang w:val="en-US" w:eastAsia="en-US" w:bidi="ar-SA"/>
              </w:rPr>
              <w:t>%</w:t>
            </w:r>
            <w:r>
              <w:rPr>
                <w:rFonts w:eastAsia="Calibri" w:cs="Times New Roman" w:ascii="Times New Roman" w:hAnsi="Times New Roman"/>
                <w:b/>
                <w:bCs/>
                <w:kern w:val="2"/>
                <w:sz w:val="22"/>
                <w:szCs w:val="22"/>
                <w:lang w:val="lt-LT" w:eastAsia="en-US" w:bidi="ar-SA"/>
              </w:rPr>
              <w:t>)</w:t>
            </w:r>
          </w:p>
        </w:tc>
        <w:tc>
          <w:tcPr>
            <w:tcW w:w="4963"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Rezultatas (kas bus vertinama pagal BUP)</w:t>
            </w:r>
          </w:p>
        </w:tc>
        <w:tc>
          <w:tcPr>
            <w:tcW w:w="2516"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Kompetencijos ir matematikos pasiekimai</w:t>
            </w:r>
          </w:p>
        </w:tc>
        <w:tc>
          <w:tcPr>
            <w:tcW w:w="2790"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Integracija/ Pastabos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Kartojame 6 klasės kursą</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 Skaičiai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 Racionaliųjų skaičių sudėtis ir atimtis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 Neneigiamųjų paprastųjų trupmenų daugyba ir dalyba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 Neneigiamųjų dešimtainių skaičių daugyba ir dalyba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 Teigiamųjų ir neigiamųjų skaičių daugyba ir dalyba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6. Procentai. Proporcija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7. Tiesioginis proporcingumas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 Reiškiniai. Lygtys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9. Lygios plokštumos figūros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 xml:space="preserve">10. </w:t>
            </w:r>
            <w:r>
              <w:rPr>
                <w:rFonts w:eastAsia="Calibri" w:cs="Times New Roman" w:ascii="Times New Roman" w:hAnsi="Times New Roman"/>
                <w:strike/>
                <w:color w:val="000000"/>
                <w:kern w:val="2"/>
                <w:sz w:val="22"/>
                <w:szCs w:val="22"/>
                <w:lang w:val="lt-LT" w:eastAsia="en-US" w:bidi="ar-SA"/>
              </w:rPr>
              <w:t>Panašios plokštumos figūros</w:t>
            </w:r>
            <w:r>
              <w:rPr>
                <w:rFonts w:eastAsia="Calibri" w:cs="Times New Roman" w:ascii="Times New Roman" w:hAnsi="Times New Roman"/>
                <w:color w:val="000000"/>
                <w:kern w:val="2"/>
                <w:sz w:val="22"/>
                <w:szCs w:val="22"/>
                <w:lang w:val="lt-LT" w:eastAsia="en-US" w:bidi="ar-SA"/>
              </w:rPr>
              <w:t xml:space="preserve"> Mastelis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 Duomenys</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12. Tikimybės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12</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atpažinti natūraliuosius, sveikuosius ir racionaliuosius skaičius, juos palyginti ir pažymėti skaičių tiesėje. Moka koordinačių plokštumoje pažymėti skaičių poras taškais ir atvirkščiai. Moka duotam skaičiui užrašyti priešingą ir atvirkštinį skaičius.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atlikti veiksmus (sudėtis, atimtis, daugyba, dalyba) su sveikaisiais ir racionaliaisiais skaičiais. Atlikdami skaičiavimus taiko skaičiavimo dėsnius: perstatomumo, jungiamumo, skirstomumo.</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spręsti 1 – 4 žingsnių pirmojo laipsnio lygtis su vienu nežinomuoju.</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apskaičiuoti nuolaidas, procentines nuolaidas, antkainius, įvairių prekių ir paslaugų tarifus.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Kasdieniame gyvenime atpažįsta dydžius, kuriuos sieja tiesioginis proporcingumas.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Koordinačių plokštumoje arba languotame popieriuje geba nubraižyti padidintą (sumažintą) figūrą.</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nubraižyti lygias figūras, taiko trikampių lygumo požymius ir trikampio nelygybę uždaviniams spręsti.</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Geba taikyti mastelio sąvoką realaus turinio uždaviniuose. Atpažįsta lygius </w:t>
            </w:r>
            <w:r>
              <w:rPr>
                <w:rFonts w:eastAsia="Calibri" w:cs="Times New Roman" w:ascii="Times New Roman" w:hAnsi="Times New Roman"/>
                <w:strike/>
                <w:color w:val="000000"/>
                <w:kern w:val="2"/>
                <w:sz w:val="22"/>
                <w:szCs w:val="22"/>
                <w:lang w:val="lt-LT" w:eastAsia="en-US" w:bidi="ar-SA"/>
              </w:rPr>
              <w:t>(panašius)</w:t>
            </w:r>
            <w:r>
              <w:rPr>
                <w:rFonts w:eastAsia="Calibri" w:cs="Times New Roman" w:ascii="Times New Roman" w:hAnsi="Times New Roman"/>
                <w:color w:val="000000"/>
                <w:kern w:val="2"/>
                <w:sz w:val="22"/>
                <w:szCs w:val="22"/>
                <w:lang w:val="lt-LT" w:eastAsia="en-US" w:bidi="ar-SA"/>
              </w:rPr>
              <w:t xml:space="preserve"> trika</w:t>
            </w:r>
            <w:r>
              <w:rPr>
                <w:rFonts w:eastAsia="Calibri" w:cs="Times New Roman" w:ascii="Times New Roman" w:hAnsi="Times New Roman"/>
                <w:kern w:val="2"/>
                <w:sz w:val="22"/>
                <w:szCs w:val="22"/>
                <w:lang w:val="lt-LT" w:eastAsia="en-US" w:bidi="ar-SA"/>
              </w:rPr>
              <w:t xml:space="preserve">mpius ir moka taikyti trikampių lygumo </w:t>
            </w:r>
            <w:r>
              <w:rPr>
                <w:rFonts w:eastAsia="Calibri" w:cs="Times New Roman" w:ascii="Times New Roman" w:hAnsi="Times New Roman"/>
                <w:strike/>
                <w:color w:val="000000"/>
                <w:kern w:val="2"/>
                <w:sz w:val="22"/>
                <w:szCs w:val="22"/>
                <w:lang w:val="lt-LT" w:eastAsia="en-US" w:bidi="ar-SA"/>
              </w:rPr>
              <w:t>(panašumo)</w:t>
            </w:r>
            <w:r>
              <w:rPr>
                <w:rFonts w:eastAsia="Calibri" w:cs="Times New Roman" w:ascii="Times New Roman" w:hAnsi="Times New Roman"/>
                <w:color w:val="000000"/>
                <w:kern w:val="2"/>
                <w:sz w:val="22"/>
                <w:szCs w:val="22"/>
                <w:lang w:val="lt-LT" w:eastAsia="en-US" w:bidi="ar-SA"/>
              </w:rPr>
              <w:t xml:space="preserve"> </w:t>
            </w:r>
            <w:r>
              <w:rPr>
                <w:rFonts w:eastAsia="Calibri" w:cs="Times New Roman" w:ascii="Times New Roman" w:hAnsi="Times New Roman"/>
                <w:kern w:val="2"/>
                <w:sz w:val="22"/>
                <w:szCs w:val="22"/>
                <w:lang w:val="lt-LT" w:eastAsia="en-US" w:bidi="ar-SA"/>
              </w:rPr>
              <w:t>požymius uždaviniams spręsti.</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apskaičiuoti duomenų skaitines charakteristikas. Moka rasti dviejų elementų rinkinių skaičių. Moka apskaičiuoti su bandymu susijusio įvykio ir jam priešingo įvykio tikimybę.</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Rekomenduojama skirti pamoką skyreliui „Išmokome ir taikome“ </w:t>
            </w:r>
            <w:r>
              <w:rPr>
                <w:rFonts w:eastAsia="Calibri" w:cs="Times New Roman" w:ascii="Times New Roman" w:hAnsi="Times New Roman"/>
                <w:color w:val="000000"/>
                <w:kern w:val="2"/>
                <w:sz w:val="22"/>
                <w:szCs w:val="22"/>
                <w:lang w:val="lt-LT" w:eastAsia="en-US" w:bidi="ar-SA"/>
              </w:rPr>
              <w:t xml:space="preserve">(pamokai skirti laiką iš </w:t>
            </w:r>
            <w:r>
              <w:rPr>
                <w:rFonts w:eastAsia="Calibri" w:cs="Times New Roman" w:ascii="Times New Roman" w:hAnsi="Times New Roman"/>
                <w:kern w:val="2"/>
                <w:sz w:val="22"/>
                <w:szCs w:val="22"/>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eastAsia="Calibri" w:cs="Times New Roman"/>
                <w:b/>
                <w:b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w:t>
            </w:r>
            <w:r>
              <w:rPr>
                <w:rFonts w:eastAsia="Calibri" w:cs="Times New Roman" w:ascii="Times New Roman" w:hAnsi="Times New Roman"/>
                <w:b/>
                <w:bCs/>
                <w:color w:val="000000"/>
                <w:kern w:val="2"/>
                <w:sz w:val="22"/>
                <w:szCs w:val="22"/>
                <w:lang w:val="lt-LT" w:eastAsia="en-US" w:bidi="ar-SA"/>
              </w:rPr>
              <w:t>Pakartokime“:</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Liberation Serif" w:cs="Liberation Serif" w:ascii="Liberation Serif" w:hAnsi="Liberation Serif"/>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 xml:space="preserve"> </w:t>
            </w:r>
            <w:r>
              <w:rPr>
                <w:rFonts w:eastAsia="Calibri" w:cs="Times New Roman" w:ascii="Times New Roman" w:hAnsi="Times New Roman"/>
                <w:color w:val="000000"/>
                <w:kern w:val="2"/>
                <w:sz w:val="22"/>
                <w:szCs w:val="22"/>
                <w:lang w:val="lt-LT" w:eastAsia="en-US" w:bidi="ar-SA"/>
              </w:rPr>
              <w:t>nespręsti K85, K86, K87;</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Liberation Serif" w:cs="Liberation Serif" w:ascii="Liberation Serif" w:hAnsi="Liberation Serif"/>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 xml:space="preserve"> </w:t>
            </w:r>
            <w:r>
              <w:rPr>
                <w:rFonts w:eastAsia="Calibri" w:cs="Times New Roman" w:ascii="Times New Roman" w:hAnsi="Times New Roman"/>
                <w:color w:val="000000"/>
                <w:kern w:val="2"/>
                <w:sz w:val="22"/>
                <w:szCs w:val="22"/>
                <w:lang w:val="lt-LT" w:eastAsia="en-US" w:bidi="ar-SA"/>
              </w:rPr>
              <w:t>sąvoką „imtis“ keisti sąvoka „duomenys“ nr. K89 ir K90.</w:t>
            </w:r>
          </w:p>
          <w:p>
            <w:pPr>
              <w:pStyle w:val="Normal"/>
              <w:widowControl/>
              <w:suppressAutoHyphens w:val="true"/>
              <w:spacing w:lineRule="auto" w:line="240" w:before="0" w:after="0"/>
              <w:jc w:val="start"/>
              <w:rPr>
                <w:rFonts w:ascii="Calibri" w:hAnsi="Calibri" w:eastAsia="Calibri"/>
                <w:color w:val="00B050"/>
              </w:rPr>
            </w:pPr>
            <w:r>
              <w:rPr>
                <w:rFonts w:eastAsia="Calibri"/>
                <w:color w:val="00B050"/>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themeColor="accent1" w:val="4472C4"/>
              </w:rPr>
            </w:pPr>
            <w:r>
              <w:rPr>
                <w:rFonts w:eastAsia="Calibri" w:cs="Times New Roman" w:ascii="Times New Roman" w:hAnsi="Times New Roman"/>
                <w:b/>
                <w:bCs/>
                <w:color w:val="009900"/>
                <w:kern w:val="2"/>
                <w:sz w:val="22"/>
                <w:szCs w:val="22"/>
                <w:lang w:val="lt-LT" w:eastAsia="en-US" w:bidi="ar-SA"/>
              </w:rPr>
              <w:t>1. TEIGINIAI</w:t>
            </w:r>
          </w:p>
          <w:p>
            <w:pPr>
              <w:pStyle w:val="Normal"/>
              <w:widowControl/>
              <w:suppressAutoHyphens w:val="true"/>
              <w:spacing w:lineRule="auto" w:line="240" w:before="0" w:after="0"/>
              <w:jc w:val="start"/>
              <w:rPr>
                <w:rFonts w:ascii="Times New Roman" w:hAnsi="Times New Roman" w:cs="Times New Roman"/>
                <w:b/>
                <w:bCs/>
                <w:color w:themeColor="accent1" w:val="4472C4"/>
              </w:rPr>
            </w:pPr>
            <w:r>
              <w:rPr>
                <w:rFonts w:eastAsia="Calibri" w:cs="Times New Roman" w:ascii="Times New Roman" w:hAnsi="Times New Roman"/>
                <w:kern w:val="2"/>
                <w:sz w:val="22"/>
                <w:szCs w:val="22"/>
                <w:lang w:val="lt-LT" w:eastAsia="en-US" w:bidi="ar-SA"/>
              </w:rPr>
              <w:t xml:space="preserve">1.1. Teisingi ir klaidingi teiginiai </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 xml:space="preserve">1.2. Aksioma, apibrėžimas, teorema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1.3. Įrodymas</w:t>
            </w:r>
          </w:p>
          <w:p>
            <w:pPr>
              <w:pStyle w:val="Normal"/>
              <w:widowControl/>
              <w:suppressAutoHyphens w:val="true"/>
              <w:spacing w:lineRule="auto" w:line="240" w:before="0" w:after="160"/>
              <w:jc w:val="start"/>
              <w:rPr>
                <w:rFonts w:ascii="Times New Roman" w:hAnsi="Times New Roman" w:cs="Times New Roman"/>
                <w:b/>
                <w:bCs/>
                <w:color w:themeColor="text1" w:val="000000"/>
              </w:rPr>
            </w:pPr>
            <w:r>
              <w:rPr>
                <w:rFonts w:cs="Times New Roman" w:ascii="Times New Roman" w:hAnsi="Times New Roman"/>
                <w:b/>
                <w:bCs/>
                <w:color w:themeColor="text1" w:val="000000"/>
              </w:rPr>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3</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paaiškinti, kas yra vadinama apibrėžtimi, teorema, hipoteze, išvada. Atpažįsta sąlyginius teiginius „jei, tai“, žino, kuo teiginio sąlyga skiriasi nuo teiginio išvados. Moka formuluoti sąlyginiam teiginiui atvirkštinį teiginį. Supranta, kad ne kiekvienas atvirkštinis teiginys yra teisingas.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Cs/>
                <w:color w:val="FF0000"/>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fizika ir astronomija. Graikų abėcėlė. Rekomenduojama integruota matematikos ir astronomijos pamoka „Žvaigždynai“</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2. LAIPSNIAI</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2.1. Keliame kvadratu ir kubu</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 xml:space="preserve">2.2. Laipsnis su natūraliuoju rodikliu </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2.3. Dauginame ir dalijame laipsnius su vienodais pagrindais</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color w:val="000000"/>
                <w:kern w:val="2"/>
                <w:sz w:val="22"/>
                <w:szCs w:val="22"/>
                <w:lang w:val="lt-LT" w:eastAsia="en-US" w:bidi="ar-SA"/>
              </w:rPr>
              <w:t>2.4. Dauginame ir dalijame laipsnius su vienodais rodikliais</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color w:val="000000"/>
                <w:kern w:val="2"/>
                <w:sz w:val="22"/>
                <w:szCs w:val="22"/>
                <w:lang w:val="lt-LT" w:eastAsia="en-US" w:bidi="ar-SA"/>
              </w:rPr>
              <w:t>2.5. Laipsnį keliame laipsniu</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2.6. Laipsnis su sveikuoju neigiamuoju rodikliu</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2.7. Laipsnio su sveikuoju neigiamuoju rodikliu savybės</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2.8. Standartinė skaičiaus išraiška</w:t>
            </w:r>
          </w:p>
          <w:p>
            <w:pPr>
              <w:pStyle w:val="Normal"/>
              <w:widowControl/>
              <w:suppressAutoHyphens w:val="true"/>
              <w:spacing w:lineRule="auto" w:line="240" w:before="0" w:after="0"/>
              <w:ind w:hanging="426" w:start="426"/>
              <w:jc w:val="both"/>
              <w:rPr>
                <w:rFonts w:ascii="Times New Roman" w:hAnsi="Times New Roman" w:cs="Times New Roman"/>
                <w:color w:themeColor="text1" w:val="000000"/>
              </w:rPr>
            </w:pPr>
            <w:r>
              <w:rPr>
                <w:rFonts w:cs="Times New Roman" w:ascii="Times New Roman" w:hAnsi="Times New Roman"/>
                <w:color w:themeColor="text1" w:val="000000"/>
              </w:rPr>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12</w:t>
            </w:r>
          </w:p>
        </w:tc>
        <w:tc>
          <w:tcPr>
            <w:tcW w:w="4963" w:type="dxa"/>
            <w:tcBorders/>
          </w:tcPr>
          <w:p>
            <w:pPr>
              <w:pStyle w:val="Normal"/>
              <w:widowControl/>
              <w:suppressAutoHyphens w:val="true"/>
              <w:spacing w:lineRule="auto" w:line="240" w:before="0" w:after="16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Apibrėžia laipsnį su natūraliuoju rodikliu. Pagrindžia ir taiko laipsnių su vienodais pagrindais ir laipsnių su skirtingais pagrindais, bet tokiais pačiais rodikliais, daugybos ir dalybos, taip pat laipsnio kėlimo laipsniu savybes. Apibrėžia laipsnius su nuliniu ir sveikuoju neigiamuoju rodikliu. Pagrindžia, kad laipsniams su sveikaisiais neigiamaisiais rodikliais būdingos tos pačios savybės, kaip ir laipsniams su natūraliaisiais rodikliais. Paaiškina, kad a</w:t>
            </w:r>
            <w:r>
              <w:rPr>
                <w:rFonts w:eastAsia="Calibri" w:cs="Times New Roman" w:ascii="Times New Roman" w:hAnsi="Times New Roman"/>
                <w:kern w:val="2"/>
                <w:sz w:val="22"/>
                <w:szCs w:val="22"/>
                <w:vertAlign w:val="superscript"/>
                <w:lang w:val="lt-LT" w:eastAsia="en-US" w:bidi="ar-SA"/>
              </w:rPr>
              <w:t>0</w:t>
            </w:r>
            <w:r>
              <w:rPr>
                <w:rFonts w:eastAsia="Calibri" w:cs="Times New Roman" w:ascii="Times New Roman" w:hAnsi="Times New Roman"/>
                <w:kern w:val="2"/>
                <w:sz w:val="22"/>
                <w:szCs w:val="22"/>
                <w:lang w:val="lt-LT" w:eastAsia="en-US" w:bidi="ar-SA"/>
              </w:rPr>
              <w:t xml:space="preserve">=1, kai </w:t>
            </w:r>
            <w:r>
              <w:rPr>
                <w:rFonts w:eastAsia="Calibri" w:cs="Times New Roman" w:ascii="Times New Roman" w:hAnsi="Times New Roman"/>
                <w:i/>
                <w:kern w:val="2"/>
                <w:sz w:val="22"/>
                <w:szCs w:val="22"/>
                <w:lang w:val="lt-LT" w:eastAsia="en-US" w:bidi="ar-SA"/>
              </w:rPr>
              <w:t>a</w:t>
            </w:r>
            <w:r>
              <w:rPr>
                <w:rFonts w:eastAsia="Calibri" w:cs="Times New Roman" w:ascii="Times New Roman" w:hAnsi="Times New Roman"/>
                <w:kern w:val="2"/>
                <w:sz w:val="22"/>
                <w:szCs w:val="22"/>
                <w:lang w:val="lt-LT" w:eastAsia="en-US" w:bidi="ar-SA"/>
              </w:rPr>
              <w:t xml:space="preserve"> nelygu 0. Žino veiksmų atlikimo tvarką reiškinyje, kai jame yra ir laipsnių. Nagrinėja realaus pasaulio situacijas, kai skaičiai užrašyti standartine skaičiaus išraiška </w:t>
            </w:r>
            <w:r>
              <w:rPr>
                <w:rFonts w:eastAsia="Calibri" w:cs="Cambria Math" w:ascii="Cambria Math" w:hAnsi="Cambria Math"/>
                <w:kern w:val="2"/>
                <w:sz w:val="22"/>
                <w:szCs w:val="22"/>
                <w:lang w:val="lt-LT" w:eastAsia="en-US" w:bidi="ar-SA"/>
              </w:rPr>
              <w:t>𝑎</w:t>
            </w:r>
            <w:r>
              <w:rPr>
                <w:rFonts w:eastAsia="Calibri" w:cs="Times New Roman" w:ascii="Times New Roman" w:hAnsi="Times New Roman"/>
                <w:kern w:val="2"/>
                <w:sz w:val="22"/>
                <w:szCs w:val="22"/>
                <w:lang w:val="lt-LT" w:eastAsia="en-US" w:bidi="ar-SA"/>
              </w:rPr>
              <w:t xml:space="preserve"> ∙ 10</w:t>
            </w:r>
            <w:r>
              <w:rPr>
                <w:rFonts w:eastAsia="Calibri" w:cs="Cambria Math" w:ascii="Cambria Math" w:hAnsi="Cambria Math"/>
                <w:kern w:val="2"/>
                <w:sz w:val="22"/>
                <w:szCs w:val="22"/>
                <w:vertAlign w:val="superscript"/>
                <w:lang w:val="lt-LT" w:eastAsia="en-US" w:bidi="ar-SA"/>
              </w:rPr>
              <w:t>𝑘</w:t>
            </w:r>
            <w:r>
              <w:rPr>
                <w:rFonts w:eastAsia="Calibri" w:cs="Times New Roman" w:ascii="Times New Roman" w:hAnsi="Times New Roman"/>
                <w:kern w:val="2"/>
                <w:sz w:val="22"/>
                <w:szCs w:val="22"/>
                <w:lang w:val="lt-LT" w:eastAsia="en-US" w:bidi="ar-SA"/>
              </w:rPr>
              <w:t xml:space="preserve">, kai 1 ≤ </w:t>
            </w:r>
            <w:r>
              <w:rPr>
                <w:rFonts w:eastAsia="Calibri" w:cs="Times New Roman" w:ascii="Times New Roman" w:hAnsi="Times New Roman"/>
                <w:i/>
                <w:iCs/>
                <w:kern w:val="2"/>
                <w:sz w:val="22"/>
                <w:szCs w:val="22"/>
                <w:lang w:val="lt-LT" w:eastAsia="en-US" w:bidi="ar-SA"/>
              </w:rPr>
              <w:t>a</w:t>
            </w:r>
            <w:r>
              <w:rPr>
                <w:rFonts w:eastAsia="Calibri" w:cs="Times New Roman" w:ascii="Times New Roman" w:hAnsi="Times New Roman"/>
                <w:kern w:val="2"/>
                <w:sz w:val="22"/>
                <w:szCs w:val="22"/>
                <w:lang w:val="lt-LT" w:eastAsia="en-US" w:bidi="ar-SA"/>
              </w:rPr>
              <w:t xml:space="preserve"> &lt;10, </w:t>
            </w:r>
            <w:r>
              <w:rPr>
                <w:rFonts w:eastAsia="Calibri" w:cs="Times New Roman" w:ascii="Times New Roman" w:hAnsi="Times New Roman"/>
                <w:i/>
                <w:iCs/>
                <w:kern w:val="2"/>
                <w:sz w:val="22"/>
                <w:szCs w:val="22"/>
                <w:lang w:val="lt-LT" w:eastAsia="en-US" w:bidi="ar-SA"/>
              </w:rPr>
              <w:t>k</w:t>
            </w:r>
            <w:r>
              <w:rPr>
                <w:rFonts w:eastAsia="Calibri" w:cs="Times New Roman" w:ascii="Times New Roman" w:hAnsi="Times New Roman"/>
                <w:kern w:val="2"/>
                <w:sz w:val="22"/>
                <w:szCs w:val="22"/>
                <w:lang w:val="lt-LT" w:eastAsia="en-US" w:bidi="ar-SA"/>
              </w:rPr>
              <w:t xml:space="preserve"> yra sveikasis skaičius. Moka skaičius užrašyti tokiu pavidalu, juos perskaityti, palyginti.</w:t>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C1</w:t>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0"/>
              <w:jc w:val="both"/>
              <w:rPr>
                <w:rFonts w:ascii="Times New Roman" w:hAnsi="Times New Roman" w:cs="Times New Roman"/>
              </w:rPr>
            </w:pPr>
            <w:r>
              <w:rPr>
                <w:rFonts w:cs="Times New Roman" w:ascii="Times New Roman" w:hAnsi="Times New Roman"/>
              </w:rPr>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fizika ir astronomija</w:t>
            </w:r>
            <w:r>
              <w:rPr>
                <w:rFonts w:eastAsia="Calibri" w:cs="Times New Roman" w:ascii="Times New Roman" w:hAnsi="Times New Roman"/>
                <w:color w:val="000000"/>
                <w:kern w:val="2"/>
                <w:sz w:val="22"/>
                <w:szCs w:val="22"/>
                <w:lang w:val="lt-LT" w:eastAsia="en-US" w:bidi="ar-SA"/>
              </w:rPr>
              <w:t xml:space="preserve">. Rekomenduojama integruota pamoka „Saulės sistema“ (pamokai skirti laiką iš </w:t>
            </w:r>
            <w:r>
              <w:rPr>
                <w:rFonts w:eastAsia="Calibri" w:cs="Times New Roman" w:ascii="Times New Roman" w:hAnsi="Times New Roman"/>
                <w:kern w:val="2"/>
                <w:sz w:val="22"/>
                <w:szCs w:val="22"/>
                <w:lang w:val="lt-LT" w:eastAsia="en-US" w:bidi="ar-SA"/>
              </w:rPr>
              <w:t>30 % laisvai pasirenkamo ugdymo turinio).</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3. PROCENTAI</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3.1. Ieškome, kiek procentų pakito dydis</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3.2. Ieškome dydžio, kai žinoma jo pradinė vertė ir pokytis procentais</w:t>
            </w:r>
          </w:p>
          <w:p>
            <w:pPr>
              <w:pStyle w:val="Normal"/>
              <w:widowControl/>
              <w:suppressAutoHyphens w:val="true"/>
              <w:spacing w:lineRule="auto" w:line="240" w:before="0" w:after="0"/>
              <w:jc w:val="start"/>
              <w:rPr>
                <w:rFonts w:ascii="Times New Roman" w:hAnsi="Times New Roman" w:cs="Times New Roman"/>
                <w:strike/>
              </w:rPr>
            </w:pPr>
            <w:r>
              <w:rPr>
                <w:rFonts w:eastAsia="Calibri" w:cs="Times New Roman" w:ascii="Times New Roman" w:hAnsi="Times New Roman"/>
                <w:strike/>
                <w:kern w:val="2"/>
                <w:sz w:val="22"/>
                <w:szCs w:val="22"/>
                <w:lang w:val="lt-LT" w:eastAsia="en-US" w:bidi="ar-SA"/>
              </w:rPr>
              <w:t>3.3. Paprastosios palūkanos</w:t>
            </w:r>
          </w:p>
          <w:p>
            <w:pPr>
              <w:pStyle w:val="Normal"/>
              <w:widowControl/>
              <w:suppressAutoHyphens w:val="true"/>
              <w:spacing w:lineRule="auto" w:line="240" w:before="0" w:after="0"/>
              <w:jc w:val="start"/>
              <w:rPr>
                <w:rFonts w:ascii="Times New Roman" w:hAnsi="Times New Roman" w:cs="Times New Roman"/>
                <w:strike/>
                <w:color w:themeColor="accent6" w:val="70AD47"/>
              </w:rPr>
            </w:pPr>
            <w:r>
              <w:rPr>
                <w:rFonts w:eastAsia="Calibri" w:cs="Times New Roman" w:ascii="Times New Roman" w:hAnsi="Times New Roman"/>
                <w:strike/>
                <w:color w:val="000000"/>
                <w:kern w:val="2"/>
                <w:sz w:val="22"/>
                <w:szCs w:val="22"/>
                <w:lang w:val="lt-LT" w:eastAsia="en-US" w:bidi="ar-SA"/>
              </w:rPr>
              <w:t>3.4. Sudėtinės palūkanos</w:t>
            </w:r>
          </w:p>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kern w:val="2"/>
                <w:sz w:val="22"/>
                <w:szCs w:val="22"/>
                <w:lang w:val="lt-LT" w:eastAsia="en-US" w:bidi="ar-SA"/>
              </w:rPr>
              <w:t>3.5. Sudėtiniai procentai</w:t>
            </w:r>
          </w:p>
        </w:tc>
        <w:tc>
          <w:tcPr>
            <w:tcW w:w="1134" w:type="dxa"/>
            <w:tcBorders/>
          </w:tcPr>
          <w:p>
            <w:pPr>
              <w:pStyle w:val="Normal"/>
              <w:widowControl/>
              <w:suppressAutoHyphens w:val="true"/>
              <w:spacing w:lineRule="auto" w:line="240" w:before="0" w:after="0"/>
              <w:jc w:val="both"/>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4</w:t>
            </w:r>
          </w:p>
        </w:tc>
        <w:tc>
          <w:tcPr>
            <w:tcW w:w="4963" w:type="dxa"/>
            <w:tcBorders/>
          </w:tcPr>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Geba apskaičiuoti, kiek procentų pakito dydis, rasti dydį, kai žinoma jo pradinė (galutinė) vertė ir pokytis procentais.</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Moka spręsti nesudėtingus uždavinius, kai skaičius ar dydis kelis kartus tam tikru procentų skaičiumi padidinamas arba sumažinamas.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C3</w:t>
            </w:r>
          </w:p>
        </w:tc>
        <w:tc>
          <w:tcPr>
            <w:tcW w:w="2790" w:type="dxa"/>
            <w:tcBorders/>
          </w:tcPr>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Nenagrinėti:</w:t>
            </w:r>
          </w:p>
          <w:p>
            <w:pPr>
              <w:pStyle w:val="ListParagraph"/>
              <w:widowControl/>
              <w:numPr>
                <w:ilvl w:val="0"/>
                <w:numId w:val="2"/>
              </w:numPr>
              <w:suppressAutoHyphens w:val="true"/>
              <w:spacing w:lineRule="auto" w:line="240" w:before="0" w:after="0"/>
              <w:ind w:hanging="214" w:start="214"/>
              <w:contextualSpacing/>
              <w:jc w:val="start"/>
              <w:rPr>
                <w:color w:val="000000"/>
              </w:rPr>
            </w:pPr>
            <w:r>
              <w:rPr>
                <w:rFonts w:eastAsia="Calibri" w:cs="Times New Roman" w:ascii="Times New Roman" w:hAnsi="Times New Roman"/>
                <w:color w:val="000000"/>
                <w:kern w:val="2"/>
                <w:sz w:val="22"/>
                <w:szCs w:val="22"/>
                <w:lang w:val="lt-LT" w:eastAsia="en-US" w:bidi="ar-SA"/>
              </w:rPr>
              <w:t>temų 3.3. ir 3.4.;</w:t>
            </w:r>
          </w:p>
          <w:p>
            <w:pPr>
              <w:pStyle w:val="ListParagraph"/>
              <w:widowControl/>
              <w:numPr>
                <w:ilvl w:val="0"/>
                <w:numId w:val="2"/>
              </w:numPr>
              <w:suppressAutoHyphens w:val="true"/>
              <w:spacing w:lineRule="auto" w:line="240" w:before="0" w:after="0"/>
              <w:ind w:hanging="214" w:start="214"/>
              <w:contextualSpacing/>
              <w:jc w:val="start"/>
              <w:rPr>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Apibendriname“ visko apie palūkanas.</w:t>
            </w:r>
          </w:p>
          <w:p>
            <w:pPr>
              <w:pStyle w:val="Normal"/>
              <w:widowControl/>
              <w:tabs>
                <w:tab w:val="clear" w:pos="1296"/>
                <w:tab w:val="left" w:pos="214" w:leader="none"/>
              </w:tabs>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 xml:space="preserve">Nespręsti: </w:t>
            </w:r>
          </w:p>
          <w:p>
            <w:pPr>
              <w:pStyle w:val="ListParagraph"/>
              <w:widowControl/>
              <w:numPr>
                <w:ilvl w:val="0"/>
                <w:numId w:val="3"/>
              </w:numPr>
              <w:suppressAutoHyphens w:val="true"/>
              <w:spacing w:lineRule="auto" w:line="240" w:before="0" w:after="0"/>
              <w:ind w:hanging="218" w:start="214"/>
              <w:contextualSpacing/>
              <w:jc w:val="start"/>
              <w:rPr>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Kartojimo uždaviniai“ K136, K138, K139;</w:t>
            </w:r>
          </w:p>
          <w:p>
            <w:pPr>
              <w:pStyle w:val="ListParagraph"/>
              <w:widowControl/>
              <w:numPr>
                <w:ilvl w:val="0"/>
                <w:numId w:val="3"/>
              </w:numPr>
              <w:suppressAutoHyphens w:val="true"/>
              <w:spacing w:lineRule="auto" w:line="240" w:before="0" w:after="0"/>
              <w:ind w:hanging="218" w:start="214"/>
              <w:contextualSpacing/>
              <w:jc w:val="start"/>
              <w:rPr>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Pasitikrinimo užduotys“ nr. 6, 9, 10.</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color w:val="009900"/>
                <w:kern w:val="2"/>
                <w:sz w:val="22"/>
                <w:szCs w:val="22"/>
                <w:lang w:val="lt-LT" w:eastAsia="en-US" w:bidi="ar-SA"/>
              </w:rPr>
              <w:t>4. NELYGYBĖS</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4.1. Skaičių palyginimas</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4.2. Skaičių intervalai</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4.3. Prie (iš) abiejų nelygybės pusių pridedame (atimame) tą patį skaičių</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4.4. Abi nelygybės puses dauginame (dalijame) iš to paties skaičiaus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4.5. Nelygybės sprendinys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4.6. Sprendžiame vieno žingsnio nelygybes</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4.7. Sprendžiame paprastas nelygybes</w:t>
            </w:r>
          </w:p>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kern w:val="2"/>
                <w:sz w:val="22"/>
                <w:szCs w:val="22"/>
                <w:lang w:val="lt-LT" w:eastAsia="en-US" w:bidi="ar-SA"/>
              </w:rPr>
              <w:t>4.8. Sprendžiame sudėtingesnes nelygybes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strike/>
                <w:color w:val="000000"/>
                <w:kern w:val="2"/>
                <w:sz w:val="22"/>
                <w:szCs w:val="22"/>
                <w:lang w:val="lt-LT" w:eastAsia="en-US" w:bidi="ar-SA"/>
              </w:rPr>
              <w:t>4.9. Dviejų nelygybių su vienu nežinomuoju sistema</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strike/>
                <w:color w:val="000000"/>
                <w:kern w:val="2"/>
                <w:sz w:val="22"/>
                <w:szCs w:val="22"/>
                <w:lang w:val="lt-LT" w:eastAsia="en-US" w:bidi="ar-SA"/>
              </w:rPr>
              <w:t>4.10. Dvigubųjų nelygybių sprendimas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strike/>
                <w:color w:val="000000"/>
                <w:kern w:val="2"/>
                <w:sz w:val="22"/>
                <w:szCs w:val="22"/>
                <w:lang w:val="lt-LT" w:eastAsia="en-US" w:bidi="ar-SA"/>
              </w:rPr>
              <w:t>4.11. Sprendžiame tekstinius uždavinius</w:t>
            </w:r>
            <w:r>
              <w:rPr>
                <w:rFonts w:eastAsia="Calibri" w:cs="Times New Roman" w:ascii="Times New Roman" w:hAnsi="Times New Roman"/>
                <w:color w:val="000000"/>
                <w:kern w:val="2"/>
                <w:sz w:val="22"/>
                <w:szCs w:val="22"/>
                <w:lang w:val="lt-LT" w:eastAsia="en-US" w:bidi="ar-SA"/>
              </w:rPr>
              <w:t xml:space="preserve"> </w:t>
            </w:r>
          </w:p>
        </w:tc>
        <w:tc>
          <w:tcPr>
            <w:tcW w:w="1134" w:type="dxa"/>
            <w:tcBorders/>
          </w:tcPr>
          <w:p>
            <w:pPr>
              <w:pStyle w:val="Normal"/>
              <w:widowControl/>
              <w:suppressAutoHyphens w:val="true"/>
              <w:spacing w:lineRule="auto" w:line="240" w:before="0" w:after="0"/>
              <w:jc w:val="both"/>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10</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paaiškinti skaitinėms nelygybėms būdingas savybes: prie nelygybės abiejų pusių pridėti (iš abiejų pusių atimti) po tą patį skaičių; nelygybės abi puses dauginti (dalyti) iš to paties nelygaus nuliui skaičiaus.</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paaiškinti sąvokas: nelygybė su vienu nežinomuoju, nelygybės sprendinys, nelygybės sprendinių aibė, griežta nelygybė, negriežta nelygybė. Žino ženklų ≤, ≥ prasmę. </w:t>
            </w:r>
            <w:r>
              <w:rPr>
                <w:rFonts w:eastAsia="Calibri" w:cs="Times New Roman" w:ascii="Times New Roman" w:hAnsi="Times New Roman"/>
                <w:kern w:val="2"/>
                <w:sz w:val="22"/>
                <w:szCs w:val="22"/>
                <w:lang w:val="lt-LT" w:eastAsia="en-US" w:bidi="ar-SA"/>
              </w:rPr>
              <w:t>Moka taisyklingai užrašyti nelygybės sprendimą, pavaizduoti gautus sprendinius skaičių tiesėje, užrašyti juos intervalu. Sprendžia nesudėtingus uždavinius, kai prašoma atrinkti tam tikras sąlygas tenkinančius nelygybių sprendinius.</w:t>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160"/>
              <w:jc w:val="start"/>
              <w:rPr>
                <w:rFonts w:ascii="Times New Roman" w:hAnsi="Times New Roman" w:cs="Times New Roman"/>
              </w:rPr>
            </w:pPr>
            <w:r>
              <w:rPr>
                <w:rFonts w:cs="Times New Roman" w:ascii="Times New Roman" w:hAnsi="Times New Roman"/>
              </w:rPr>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Gyvenimo įgūdžių programa (užduotys „Darbas grupėse“). Integracija su istorija.  Projektinis darbas „Kelio ženklai“.</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Nenagrinėti:</w:t>
            </w:r>
          </w:p>
          <w:p>
            <w:pPr>
              <w:pStyle w:val="ListParagraph"/>
              <w:widowControl/>
              <w:numPr>
                <w:ilvl w:val="0"/>
                <w:numId w:val="2"/>
              </w:numPr>
              <w:suppressAutoHyphens w:val="true"/>
              <w:spacing w:lineRule="auto" w:line="240" w:before="0" w:after="0"/>
              <w:ind w:hanging="214"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temų 4.9., 4.10. ir 4.11.;</w:t>
            </w:r>
          </w:p>
          <w:p>
            <w:pPr>
              <w:pStyle w:val="ListParagraph"/>
              <w:widowControl/>
              <w:numPr>
                <w:ilvl w:val="0"/>
                <w:numId w:val="2"/>
              </w:numPr>
              <w:suppressAutoHyphens w:val="true"/>
              <w:spacing w:lineRule="auto" w:line="240" w:before="0" w:after="0"/>
              <w:ind w:hanging="214"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Apibendriname“ nelygybių sistemos sprendimo ir dvigubosios nelygybės sprendimo</w:t>
            </w:r>
          </w:p>
          <w:p>
            <w:pPr>
              <w:pStyle w:val="Normal"/>
              <w:widowControl/>
              <w:tabs>
                <w:tab w:val="clear" w:pos="1296"/>
                <w:tab w:val="left" w:pos="214" w:leader="none"/>
              </w:tabs>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 xml:space="preserve">Nespręsti: </w:t>
            </w:r>
          </w:p>
          <w:p>
            <w:pPr>
              <w:pStyle w:val="ListParagraph"/>
              <w:widowControl/>
              <w:numPr>
                <w:ilvl w:val="0"/>
                <w:numId w:val="3"/>
              </w:numPr>
              <w:suppressAutoHyphens w:val="true"/>
              <w:spacing w:lineRule="auto" w:line="240" w:before="0" w:after="0"/>
              <w:ind w:hanging="218"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Kartojimo uždaviniai“  K151, K158, K159, K161, K162, K63;</w:t>
            </w:r>
          </w:p>
          <w:p>
            <w:pPr>
              <w:pStyle w:val="ListParagraph"/>
              <w:widowControl/>
              <w:numPr>
                <w:ilvl w:val="0"/>
                <w:numId w:val="3"/>
              </w:numPr>
              <w:suppressAutoHyphens w:val="true"/>
              <w:spacing w:lineRule="auto" w:line="240" w:before="0" w:after="0"/>
              <w:ind w:hanging="218"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Pasitikrinimo užduotys“ nr. 7, 9, 10;</w:t>
            </w:r>
          </w:p>
          <w:p>
            <w:pPr>
              <w:pStyle w:val="ListParagraph"/>
              <w:widowControl/>
              <w:numPr>
                <w:ilvl w:val="0"/>
                <w:numId w:val="3"/>
              </w:numPr>
              <w:suppressAutoHyphens w:val="true"/>
              <w:spacing w:lineRule="auto" w:line="240" w:before="0" w:after="0"/>
              <w:ind w:hanging="218" w:start="214"/>
              <w:contextualSpacing/>
              <w:jc w:val="start"/>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Darbui grupėse“ Nr.2.3).</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5. ATVIRKŠTINIS PROPORCINGUMAS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5.1. Tarpusavyje susiję dydžiai</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kern w:val="2"/>
                <w:sz w:val="22"/>
                <w:szCs w:val="22"/>
                <w:lang w:val="lt-LT" w:eastAsia="en-US" w:bidi="ar-SA"/>
              </w:rPr>
              <w:t xml:space="preserve">5.2. </w:t>
            </w:r>
            <w:r>
              <w:rPr>
                <w:rFonts w:eastAsia="Calibri" w:cs="Times New Roman" w:ascii="Times New Roman" w:hAnsi="Times New Roman"/>
                <w:color w:val="000000"/>
                <w:kern w:val="2"/>
                <w:sz w:val="22"/>
                <w:szCs w:val="22"/>
                <w:lang w:val="lt-LT" w:eastAsia="en-US" w:bidi="ar-SA"/>
              </w:rPr>
              <w:t>Atvirkščiai proporcingi dydžiai</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5.3. Atvirkščiai proporcingų dydžių priklausomybės grafikas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 xml:space="preserve">5.4. Tekstinių uždavinių sprendimas      </w:t>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4</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Moka perskaityti informaciją, pateiktą įvesties ir (ar) išvesties lentelėse, kuriose išreikštas atvirkštinio proporcingumo sąryšis. Moka sudaryti atvirkštinio proporcingumo lenteles ir susieti su uždavinio sąlyga (pavyzdžiui, greitis ir laikas, esant pastoviam keliui; stačiakampio ilgis ir plotis, esant pastoviam plotui, ir pan.). Geba lentelių duomenis užrašyti skaičių poromis ir pažymėti taškais koordinačių plokštumoje. Geba skaityti ir braižyti atvirkštinio proporcingumo grafikus. Sprendžia nesudėtingus įvairaus konteksto uždavinius, kuriuose remiamasi samprata apie tiesioginį ir atvirkštinį proporcingumą.</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Gyvenimo įgūdžių programa (aprašymas ir užduotys „Darbas grupėse“). Informacijos apie IQ paieška internete.</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6. TIESĖS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6.1. Taškas ir tiesė</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6</w:t>
            </w:r>
            <w:r>
              <w:rPr>
                <w:rFonts w:eastAsia="Calibri" w:cs="Times New Roman" w:ascii="Times New Roman" w:hAnsi="Times New Roman"/>
                <w:kern w:val="2"/>
                <w:sz w:val="22"/>
                <w:szCs w:val="22"/>
                <w:lang w:val="lt-LT" w:eastAsia="en-US" w:bidi="ar-SA"/>
              </w:rPr>
              <w:t xml:space="preserve">.2. </w:t>
            </w:r>
            <w:r>
              <w:rPr>
                <w:rFonts w:eastAsia="Calibri" w:cs="Times New Roman" w:ascii="Times New Roman" w:hAnsi="Times New Roman"/>
                <w:color w:val="000000"/>
                <w:kern w:val="2"/>
                <w:sz w:val="22"/>
                <w:szCs w:val="22"/>
                <w:lang w:val="lt-LT" w:eastAsia="en-US" w:bidi="ar-SA"/>
              </w:rPr>
              <w:t>Susikertančiosios tiesės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6.3. Lygiagrečiosios tiesės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6.4. Kampai, susidarantys dvi tieses kertant trečiąja</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6.5. Dviejų tiesių lygiagretumo požymia</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Fizinėmis ir skaitmeninėmis priemonėmis moka rasti atkarpos vidurio tašką, nubrėžti duotai tiesei statmeną tiesę (kai ji eina per nurodytą tašką tiesėje ar šalia jos), padalyti kampą pusiau, pavaizduoti brėžinyje atstumą tarp dviejų taškų, tarp taško ir tiesės, tarp lygiagrečiųjų tiesių. </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apibrėžti lygiagrečiąsias tieses. Žino kampų, kurie gaunami dvi tieses perkirtus trečiąja tiese, pavadinimus (atitinkamieji, vidaus priešiniai, vidaus vienašaliai) ir savybes bei geba jas taikyti uždaviniams spręsti. Geba nustatyti tiesių lygiagretumą pagal lygiagrečiųjų tiesių požymius, sprendžia nesudėtingus uždavinius, susijusius su tiesių lygiagretumu.</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Skirti atskirą pamoką braižymui skriestuvu ir liniuote (tiesės, statmenos duotai tiesei ir lygiagrečios duotai tiesei brėžimas)..  Brėžimo aiškinimas yra skyrelyje „Darbas grupėse“ (p</w:t>
            </w:r>
            <w:r>
              <w:rPr>
                <w:rFonts w:eastAsia="Calibri" w:cs="Times New Roman" w:ascii="Times New Roman" w:hAnsi="Times New Roman"/>
                <w:color w:val="000000"/>
                <w:kern w:val="2"/>
                <w:sz w:val="22"/>
                <w:szCs w:val="22"/>
                <w:lang w:val="lt-LT" w:eastAsia="en-US" w:bidi="ar-SA"/>
              </w:rPr>
              <w:t xml:space="preserve">amokai skirti laiką iš </w:t>
            </w:r>
            <w:r>
              <w:rPr>
                <w:rFonts w:eastAsia="Calibri" w:cs="Times New Roman" w:ascii="Times New Roman" w:hAnsi="Times New Roman"/>
                <w:kern w:val="2"/>
                <w:sz w:val="22"/>
                <w:szCs w:val="22"/>
                <w:lang w:val="lt-LT" w:eastAsia="en-US" w:bidi="ar-SA"/>
              </w:rPr>
              <w:t>30 % laisvai pasirenkamo ugdymo turinio).</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7. TRIKAMPIAI IR KETURKAMPIAI</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 xml:space="preserve">7.1. Trikampių rūšys </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w:t>
            </w:r>
            <w:r>
              <w:rPr>
                <w:rFonts w:eastAsia="Calibri" w:cs="Times New Roman" w:ascii="Times New Roman" w:hAnsi="Times New Roman"/>
                <w:kern w:val="2"/>
                <w:sz w:val="22"/>
                <w:szCs w:val="22"/>
                <w:lang w:val="lt-LT" w:eastAsia="en-US" w:bidi="ar-SA"/>
              </w:rPr>
              <w:t xml:space="preserve">.2. </w:t>
            </w:r>
            <w:r>
              <w:rPr>
                <w:rFonts w:eastAsia="Calibri" w:cs="Times New Roman" w:ascii="Times New Roman" w:hAnsi="Times New Roman"/>
                <w:color w:val="000000"/>
                <w:kern w:val="2"/>
                <w:sz w:val="22"/>
                <w:szCs w:val="22"/>
                <w:lang w:val="lt-LT" w:eastAsia="en-US" w:bidi="ar-SA"/>
              </w:rPr>
              <w:t>Trikampio aukštinės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7.3. Trikampio pusiaukraštinės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7.4. Trikampio pusiaukampinės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7.5. Lygiagretainis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7.6. Stačiakampis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7.7. Rombas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7.8. Kvadratas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color w:val="000000"/>
                <w:kern w:val="2"/>
                <w:sz w:val="22"/>
                <w:szCs w:val="22"/>
                <w:lang w:val="lt-LT" w:eastAsia="en-US" w:bidi="ar-SA"/>
              </w:rPr>
              <w:t>7.9. Trapecija</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kern w:val="2"/>
                <w:sz w:val="22"/>
                <w:szCs w:val="22"/>
                <w:lang w:val="lt-LT" w:eastAsia="en-US" w:bidi="ar-SA"/>
              </w:rPr>
              <w:t>7.10</w:t>
            </w:r>
            <w:r>
              <w:rPr>
                <w:rFonts w:eastAsia="Calibri" w:cs="Times New Roman" w:ascii="Times New Roman" w:hAnsi="Times New Roman"/>
                <w:color w:val="000000"/>
                <w:kern w:val="2"/>
                <w:sz w:val="22"/>
                <w:szCs w:val="22"/>
                <w:lang w:val="lt-LT" w:eastAsia="en-US" w:bidi="ar-SA"/>
              </w:rPr>
              <w:t xml:space="preserve">. </w:t>
            </w:r>
            <w:r>
              <w:rPr>
                <w:rFonts w:eastAsia="Calibri" w:cs="Times New Roman" w:ascii="Times New Roman" w:hAnsi="Times New Roman"/>
                <w:kern w:val="2"/>
                <w:sz w:val="22"/>
                <w:szCs w:val="22"/>
                <w:lang w:val="lt-LT" w:eastAsia="en-US" w:bidi="ar-SA"/>
              </w:rPr>
              <w:t>Lygiašonė ir stačioji trapecijos</w:t>
            </w:r>
          </w:p>
          <w:p>
            <w:pPr>
              <w:pStyle w:val="Normal"/>
              <w:widowControl/>
              <w:suppressAutoHyphens w:val="true"/>
              <w:spacing w:lineRule="auto" w:line="240" w:before="0" w:after="0"/>
              <w:jc w:val="start"/>
              <w:rPr>
                <w:rFonts w:ascii="Times New Roman" w:hAnsi="Times New Roman" w:cs="Times New Roman"/>
                <w:strike/>
                <w:color w:val="000000"/>
              </w:rPr>
            </w:pPr>
            <w:r>
              <w:rPr>
                <w:rFonts w:eastAsia="Calibri" w:cs="Times New Roman" w:ascii="Times New Roman" w:hAnsi="Times New Roman"/>
                <w:strike/>
                <w:color w:val="000000"/>
                <w:kern w:val="2"/>
                <w:sz w:val="22"/>
                <w:szCs w:val="22"/>
                <w:lang w:val="lt-LT" w:eastAsia="en-US" w:bidi="ar-SA"/>
              </w:rPr>
              <w:t xml:space="preserve">7.11. Daugiakampiai koordinačių plokštumoje </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11</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Geba brėžinyje atpažinti ar nubrėžti trikampio pusiaukampines, pusiaukraštines ir aukštines. </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Žino, kokie keturkampiai vadinami kvadratais, stačiakampiais, lygiagretainiais, rombais, trapecijomis. Geba nubrėžti ar brėžinyje atpažinti lygiagretainio aukštines. Žino ir geba taikyti lygiagretainio, rombo, stačiakampio ir kvadrato savybes, tokiu būdu nustatant, kuri figūra yra bendresnės figūrų grupės dalis. Geba klasifikuoti figūras pagal lygiagrečių kraštinių skaičių. Moka nustatyti trapecijų rūšis ir geba brėžinyje atpažinti ar nubrėžti  trapecijos aukštinę, trapecijos pagrindus ir šonines kraštines. Geba taikyti keturkampių savybes, spręsdami paprastus matematinio ir realaus konteksto uždavinius.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Skirti atskirą pamoką „Keturkampių klasifikacija“ (p</w:t>
            </w:r>
            <w:r>
              <w:rPr>
                <w:rFonts w:eastAsia="Calibri" w:cs="Times New Roman" w:ascii="Times New Roman" w:hAnsi="Times New Roman"/>
                <w:color w:val="000000"/>
                <w:kern w:val="2"/>
                <w:sz w:val="22"/>
                <w:szCs w:val="22"/>
                <w:lang w:val="lt-LT" w:eastAsia="en-US" w:bidi="ar-SA"/>
              </w:rPr>
              <w:t xml:space="preserve">amokai skirti laiką iš </w:t>
            </w:r>
            <w:r>
              <w:rPr>
                <w:rFonts w:eastAsia="Calibri" w:cs="Times New Roman" w:ascii="Times New Roman" w:hAnsi="Times New Roman"/>
                <w:kern w:val="2"/>
                <w:sz w:val="22"/>
                <w:szCs w:val="22"/>
                <w:lang w:val="lt-LT" w:eastAsia="en-US" w:bidi="ar-SA"/>
              </w:rPr>
              <w:t>30 % laisvai pasirenkamo ugdymo turinio). Schema yra skyrelyje „Darbas grupėse“.</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 xml:space="preserve">Nespręsti: Tema 7.2. </w:t>
            </w:r>
            <w:r>
              <w:rPr>
                <w:rFonts w:eastAsia="Calibri" w:cs="Times New Roman" w:ascii="Times New Roman" w:hAnsi="Times New Roman"/>
                <w:color w:val="000000"/>
                <w:kern w:val="2"/>
                <w:sz w:val="22"/>
                <w:szCs w:val="22"/>
                <w:lang w:val="lt-LT" w:eastAsia="en-US" w:bidi="ar-SA"/>
              </w:rPr>
              <w:t xml:space="preserve">U21; </w:t>
            </w:r>
            <w:r>
              <w:rPr>
                <w:rFonts w:eastAsia="Calibri" w:cs="Times New Roman" w:ascii="Times New Roman" w:hAnsi="Times New Roman"/>
                <w:b/>
                <w:bCs/>
                <w:color w:val="000000"/>
                <w:kern w:val="2"/>
                <w:sz w:val="22"/>
                <w:szCs w:val="22"/>
                <w:lang w:val="lt-LT" w:eastAsia="en-US" w:bidi="ar-SA"/>
              </w:rPr>
              <w:t>Tema 7.9.</w:t>
            </w:r>
            <w:r>
              <w:rPr>
                <w:rFonts w:eastAsia="Calibri" w:cs="Times New Roman" w:ascii="Times New Roman" w:hAnsi="Times New Roman"/>
                <w:color w:val="000000"/>
                <w:kern w:val="2"/>
                <w:sz w:val="22"/>
                <w:szCs w:val="22"/>
                <w:lang w:val="lt-LT" w:eastAsia="en-US" w:bidi="ar-SA"/>
              </w:rPr>
              <w:t xml:space="preserve"> U96.</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Nenagrinėti:</w:t>
            </w:r>
          </w:p>
          <w:p>
            <w:pPr>
              <w:pStyle w:val="ListParagraph"/>
              <w:widowControl/>
              <w:numPr>
                <w:ilvl w:val="0"/>
                <w:numId w:val="2"/>
              </w:numPr>
              <w:suppressAutoHyphens w:val="true"/>
              <w:spacing w:lineRule="auto" w:line="240" w:before="0" w:after="0"/>
              <w:ind w:hanging="214" w:start="214"/>
              <w:contextualSpacing/>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temos 7.11.;</w:t>
            </w:r>
          </w:p>
          <w:p>
            <w:pPr>
              <w:pStyle w:val="ListParagraph"/>
              <w:widowControl/>
              <w:numPr>
                <w:ilvl w:val="0"/>
                <w:numId w:val="2"/>
              </w:numPr>
              <w:suppressAutoHyphens w:val="true"/>
              <w:spacing w:lineRule="auto" w:line="240" w:before="0" w:after="0"/>
              <w:ind w:hanging="214" w:start="214"/>
              <w:contextualSpacing/>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Apibendriname“ paskutinės pastraipos;</w:t>
            </w:r>
          </w:p>
          <w:p>
            <w:pPr>
              <w:pStyle w:val="Normal"/>
              <w:widowControl/>
              <w:tabs>
                <w:tab w:val="clear" w:pos="1296"/>
                <w:tab w:val="left" w:pos="214" w:leader="none"/>
              </w:tabs>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 xml:space="preserve">Nespręsti: </w:t>
            </w:r>
          </w:p>
          <w:p>
            <w:pPr>
              <w:pStyle w:val="ListParagraph"/>
              <w:widowControl/>
              <w:numPr>
                <w:ilvl w:val="0"/>
                <w:numId w:val="3"/>
              </w:numPr>
              <w:suppressAutoHyphens w:val="true"/>
              <w:spacing w:lineRule="auto" w:line="240" w:before="0" w:after="0"/>
              <w:ind w:hanging="218" w:start="214"/>
              <w:contextualSpacing/>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Kartojimo uždaviniai“ K11;</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color w:val="000000"/>
                <w:kern w:val="2"/>
                <w:sz w:val="22"/>
                <w:szCs w:val="22"/>
                <w:lang w:val="lt-LT" w:eastAsia="en-US" w:bidi="ar-SA"/>
              </w:rPr>
              <w:t>Pasitikrinimo užduotys“ nr. 10.</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8. TRIKAMPIŲ IR KETURKAMPIŲ PLOTAI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8.1. Stačiakampio, kvadrato ir stačiojo trikampio plotų formulės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8.2. Trikampio ploto formulė</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8.3. Lygiagretainio ploto formulė</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color w:val="000000"/>
                <w:kern w:val="2"/>
                <w:sz w:val="22"/>
                <w:szCs w:val="22"/>
                <w:lang w:val="lt-LT" w:eastAsia="en-US" w:bidi="ar-SA"/>
              </w:rPr>
              <w:t>8.4. Rombo ploto formulė</w:t>
            </w:r>
          </w:p>
          <w:p>
            <w:pPr>
              <w:pStyle w:val="Normal"/>
              <w:widowControl/>
              <w:suppressAutoHyphens w:val="true"/>
              <w:spacing w:lineRule="auto" w:line="240" w:before="0" w:after="0"/>
              <w:jc w:val="start"/>
              <w:rPr>
                <w:rFonts w:ascii="Times New Roman" w:hAnsi="Times New Roman" w:cs="Times New Roman"/>
                <w:color w:themeColor="accent6" w:val="70AD47"/>
              </w:rPr>
            </w:pPr>
            <w:r>
              <w:rPr>
                <w:rFonts w:eastAsia="Calibri" w:cs="Times New Roman" w:ascii="Times New Roman" w:hAnsi="Times New Roman"/>
                <w:kern w:val="2"/>
                <w:sz w:val="22"/>
                <w:szCs w:val="22"/>
                <w:lang w:val="lt-LT" w:eastAsia="en-US" w:bidi="ar-SA"/>
              </w:rPr>
              <w:t>8.5. Trapecijos ploto formulė</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6</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Moka apskaičiuoti trikampio, lygiagretainio, trapecijos plotą. Geba pagrįsti šių figūrų ploto skaičiavimo formules.</w:t>
            </w:r>
          </w:p>
          <w:p>
            <w:pPr>
              <w:pStyle w:val="Normal"/>
              <w:widowControl/>
              <w:suppressAutoHyphens w:val="true"/>
              <w:spacing w:lineRule="auto" w:line="240" w:before="0" w:after="16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Paprastais atvejais geba rasti figūrų elementus (trikampio bei lygiagretainio aukštinę ar kraštinę; trapecijos aukštinę ar pagrindus), kai žinomas figūros plotas.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Deltoidas. Gyvenimo įgūdžių programa (aprašymas ir užduotys „Darbas grupėse“). Susipažinimas su aitvarais ir jų rūšimis. Integracija su etnografija „Aitvarai“ (inforrmacijos paieška internete).</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rPr>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9. APSKRITIMAS IR SKRITULYS</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9.1. Apskritimas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9.2. Apskritimo ilgis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9.3. Apskritimo lankas ir jo ilgis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9.4. Skritulys. Skritulio ir jo dalies plotas </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4</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Žino, kas yra skaičius π, kad apskritimo ilgio ir apskritimo skersmens ilgio santykis apytiksliai lygus 3,14 arba </w:t>
            </w:r>
            <w:r>
              <w:rPr/>
            </w:r>
            <m:oMath xmlns:m="http://schemas.openxmlformats.org/officeDocument/2006/math">
              <m:f>
                <m:num>
                  <m:r>
                    <m:t xml:space="preserve">22</m:t>
                  </m:r>
                </m:num>
                <m:den>
                  <m:r>
                    <m:t xml:space="preserve">7</m:t>
                  </m:r>
                </m:den>
              </m:f>
            </m:oMath>
            <w:r>
              <w:rPr>
                <w:rFonts w:eastAsia="Calibri" w:cs="Times New Roman" w:ascii="Times New Roman" w:hAnsi="Times New Roman"/>
                <w:kern w:val="2"/>
                <w:sz w:val="22"/>
                <w:szCs w:val="22"/>
                <w:lang w:val="lt-LT" w:eastAsia="en-US" w:bidi="ar-SA"/>
              </w:rPr>
              <w:t xml:space="preserve">. Moka apskaičiuoti apskritimo ilgį, skritulio plotą, kai yra žinomas jo spindulio ilgis. Geba apskaičiuoti skritulio dalies plotą, apskritimo lanko dalies ilgį, (pavyzdžiui, moka rasti </w:t>
            </w:r>
            <w:r>
              <w:rPr/>
            </w:r>
            <m:oMath xmlns:m="http://schemas.openxmlformats.org/officeDocument/2006/math">
              <m:f>
                <m:num>
                  <m:r>
                    <m:t xml:space="preserve">1</m:t>
                  </m:r>
                </m:num>
                <m:den>
                  <m:r>
                    <m:t xml:space="preserve">4</m:t>
                  </m:r>
                </m:den>
              </m:f>
            </m:oMath>
            <w:r>
              <w:rPr>
                <w:rFonts w:eastAsia="Calibri" w:cs="Times New Roman" w:ascii="Times New Roman" w:hAnsi="Times New Roman"/>
                <w:kern w:val="2"/>
                <w:sz w:val="22"/>
                <w:szCs w:val="22"/>
                <w:lang w:val="lt-LT" w:eastAsia="en-US" w:bidi="ar-SA"/>
              </w:rPr>
              <w:t xml:space="preserve"> skritulio ploto ar </w:t>
            </w:r>
            <w:r>
              <w:rPr/>
            </w:r>
            <m:oMath xmlns:m="http://schemas.openxmlformats.org/officeDocument/2006/math">
              <m:f>
                <m:num>
                  <m:r>
                    <m:t xml:space="preserve">1</m:t>
                  </m:r>
                </m:num>
                <m:den>
                  <m:r>
                    <m:t xml:space="preserve">2</m:t>
                  </m:r>
                </m:den>
              </m:f>
            </m:oMath>
            <w:r>
              <w:rPr>
                <w:rFonts w:eastAsia="Calibri" w:cs="Times New Roman" w:ascii="Times New Roman" w:hAnsi="Times New Roman"/>
                <w:kern w:val="2"/>
                <w:sz w:val="22"/>
                <w:szCs w:val="22"/>
                <w:lang w:val="lt-LT" w:eastAsia="en-US" w:bidi="ar-SA"/>
              </w:rPr>
              <w:t xml:space="preserve"> apskritimo lanko ilgio), įvairių figūrų perimetrus ir plotus.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Gyvenimo įgūdžių programa (aprašymas ir užduotys „Darbas grupėse“). Integracija su fiziniu lavinimu „Olimpinės žaidynės“ (inforrmacijos paieška internete).</w:t>
            </w:r>
          </w:p>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10. STAČIOJI PRIZMĖ IR TAISYKLINGOJI PIRAMIDĖ</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10.1. Tiesės ir plokštumos erdvėje</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10.2. Stačioji prizmė</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10.3. Stačiosios prizmės tūris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10.4. Piramidė</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10.5. Taisyklingoji piramidė ir jos tūris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atpažinti stačiąją ar taisyklingąją prizmę, jos aukštinę; taisyklingąją piramidę, jos aukštinę ir apotemą.</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Moka paprastose situacijose taikyti stačiosios prizmės ir taisyklingosios piramidės tūrio formules.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Integracija su geografija ir istorija. „Egipto poramidės“ – susipažinimas su žymiausiomis Egipto piramidėmis ir jų istorija.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Rekomenduojami projektiniai darbai su erdvinių figūrų išklotinėmis.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11. RITINYS IR KŪGIS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11.1. Ritinys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11.2. Ritinio paviršiaus plotas ir tūris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11.3. Kūgis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11.4. Kūgio paviršiaus plotas ir tūris</w:t>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atpažinti ritinį ir kūgį, ritinio aukštinę, kūgio aukštinę ir sudaromąją.</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pagrįsti ritinio ir kūgio paviršiaus ploto apskaičiavimo formules. Paprastais atvejais moka apskaičiuoti ritinio ir kūgio šoninio paviršiaus ir viso paviršiaus plotus. Moka paprastose situacijose taikyti ritinio ir kūgio tūrio formules.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Integracija su istorija ir lietuvių k. „Trakų salos pilis“ – realūs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paskaičiavimai.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Galima projektinė veikla, pavyzdžiui „Trakų pilies maketas“.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 xml:space="preserve">Nespręsti: Tema 11.3. </w:t>
            </w:r>
            <w:r>
              <w:rPr>
                <w:rFonts w:eastAsia="Calibri" w:cs="Times New Roman" w:ascii="Times New Roman" w:hAnsi="Times New Roman"/>
                <w:color w:val="000000"/>
                <w:kern w:val="2"/>
                <w:sz w:val="22"/>
                <w:szCs w:val="22"/>
                <w:lang w:val="lt-LT" w:eastAsia="en-US" w:bidi="ar-SA"/>
              </w:rPr>
              <w:t>U268.</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12. DUOMENYS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12.1. Statistinis tyrimas. Populiacija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12.2. Imtis. Paprastoji atsitiktinė imtis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12.3. Sisteminė, sluoksninė, lizdinė atsitiktinės imtys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12.4. Statistinis kintamasis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12.5. Duomenų pateikimas skrituline diagrama</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3</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Žino, kas yra populiacija ir imtis, imties dydis, reprezentatyvioji imtis, atsitiktinumas. </w:t>
            </w:r>
            <w:r>
              <w:rPr>
                <w:rFonts w:eastAsia="Calibri" w:cs="Times New Roman" w:ascii="Times New Roman" w:hAnsi="Times New Roman"/>
                <w:color w:val="000000"/>
                <w:kern w:val="2"/>
                <w:sz w:val="22"/>
                <w:szCs w:val="22"/>
                <w:lang w:val="lt-LT" w:eastAsia="en-US" w:bidi="ar-SA"/>
              </w:rPr>
              <w:t>Geba paaiškinti, kas yra atsitiktinis imties elementų ėmimas (atsitiktinė atranka).</w:t>
            </w:r>
            <w:r>
              <w:rPr>
                <w:rFonts w:eastAsia="Calibri" w:cs="Times New Roman" w:ascii="Times New Roman" w:hAnsi="Times New Roman"/>
                <w:kern w:val="2"/>
                <w:sz w:val="22"/>
                <w:szCs w:val="22"/>
                <w:lang w:val="lt-LT" w:eastAsia="en-US" w:bidi="ar-SA"/>
              </w:rPr>
              <w:t xml:space="preserve"> Skiria įvairius imčių sudarymo būdus: sisteminė atranka, sluoksninė atranka, lizdinė atranka. Moka duomenis pateikti skrituline diagrama ir spręsti uždavinius, kai duomenys pateikiami šios rūšies diagramomis.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Integracija su technologijomis ir daile.</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Galima projektinė veikla, pavyzdžiui: atlieka statistinį tyrimą apie mokyklos mokinių mėgstamiausius ledus ir geba duomenis palyginti.</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color w:val="000000"/>
                <w:kern w:val="2"/>
                <w:sz w:val="22"/>
                <w:szCs w:val="22"/>
                <w:lang w:val="lt-LT" w:eastAsia="en-US" w:bidi="ar-SA"/>
              </w:rPr>
              <w:t>Valandos mokinių pasiekimų patikrinimui</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21</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cs="Times New Roman" w:ascii="Times New Roman" w:hAnsi="Times New Roman"/>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cs="Times New Roman" w:ascii="Times New Roman" w:hAnsi="Times New Roman"/>
                <w:i/>
              </w:rPr>
            </w:r>
          </w:p>
        </w:tc>
        <w:tc>
          <w:tcPr>
            <w:tcW w:w="2790" w:type="dxa"/>
            <w:tcBorders/>
          </w:tcPr>
          <w:p>
            <w:pPr>
              <w:pStyle w:val="Normal"/>
              <w:widowControl/>
              <w:suppressAutoHyphens w:val="true"/>
              <w:spacing w:lineRule="auto" w:line="240" w:before="0" w:after="0"/>
              <w:jc w:val="both"/>
              <w:rPr>
                <w:rFonts w:ascii="Times New Roman" w:hAnsi="Times New Roman" w:cs="Times New Roman"/>
                <w:color w:val="FF0000"/>
              </w:rPr>
            </w:pPr>
            <w:r>
              <w:rPr>
                <w:rFonts w:cs="Times New Roman" w:ascii="Times New Roman" w:hAnsi="Times New Roman"/>
                <w:color w:val="FF0000"/>
              </w:rPr>
            </w:r>
          </w:p>
        </w:tc>
      </w:tr>
      <w:tr>
        <w:trPr/>
        <w:tc>
          <w:tcPr>
            <w:tcW w:w="2545" w:type="dxa"/>
            <w:tcBorders/>
          </w:tcPr>
          <w:p>
            <w:pPr>
              <w:pStyle w:val="Normal"/>
              <w:widowControl/>
              <w:suppressAutoHyphens w:val="true"/>
              <w:spacing w:lineRule="auto" w:line="240" w:before="0" w:after="0"/>
              <w:jc w:val="end"/>
              <w:rPr>
                <w:rFonts w:ascii="Times New Roman" w:hAnsi="Times New Roman" w:cs="Times New Roman"/>
                <w:b/>
                <w:bCs/>
                <w:color w:val="000000"/>
              </w:rPr>
            </w:pPr>
            <w:r>
              <w:rPr>
                <w:rFonts w:eastAsia="Calibri" w:cs="Times New Roman" w:ascii="Times New Roman" w:hAnsi="Times New Roman"/>
                <w:b/>
                <w:bCs/>
                <w:color w:val="000000"/>
                <w:kern w:val="2"/>
                <w:sz w:val="22"/>
                <w:szCs w:val="22"/>
                <w:lang w:val="lt-LT" w:eastAsia="en-US" w:bidi="ar-SA"/>
              </w:rPr>
              <w:t>Iš viso</w:t>
            </w:r>
          </w:p>
        </w:tc>
        <w:tc>
          <w:tcPr>
            <w:tcW w:w="1134"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105</w:t>
            </w:r>
          </w:p>
        </w:tc>
        <w:tc>
          <w:tcPr>
            <w:tcW w:w="10269" w:type="dxa"/>
            <w:gridSpan w:val="3"/>
            <w:tcBorders/>
          </w:tcPr>
          <w:p>
            <w:pPr>
              <w:pStyle w:val="Normal"/>
              <w:widowControl/>
              <w:suppressAutoHyphens w:val="true"/>
              <w:spacing w:lineRule="auto" w:line="240" w:before="0" w:after="0"/>
              <w:jc w:val="start"/>
              <w:rPr>
                <w:rFonts w:ascii="Times New Roman" w:hAnsi="Times New Roman" w:cs="Times New Roman"/>
                <w:color w:val="FF0000"/>
              </w:rPr>
            </w:pPr>
            <w:r>
              <w:rPr>
                <w:rFonts w:eastAsia="Calibri" w:cs="Times New Roman" w:ascii="Times New Roman" w:hAnsi="Times New Roman"/>
                <w:kern w:val="2"/>
                <w:sz w:val="22"/>
                <w:szCs w:val="22"/>
                <w:lang w:val="lt-LT" w:eastAsia="en-US" w:bidi="ar-SA"/>
              </w:rPr>
              <w:t>+43 val. (pamokos, laisvai planuojamos mokytojo, skirtos žinių gilinimui ir tarpdalykiniams projektams)</w:t>
            </w:r>
          </w:p>
        </w:tc>
      </w:tr>
    </w:tbl>
    <w:p>
      <w:pPr>
        <w:pStyle w:val="Normal"/>
        <w:jc w:val="both"/>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Parengė vadovėlio „Matematika visiems. 7 klasė“ autorės</w:t>
      </w:r>
    </w:p>
    <w:sectPr>
      <w:type w:val="nextPage"/>
      <w:pgSz w:orient="landscape" w:w="16838" w:h="11906"/>
      <w:pgMar w:left="1440" w:right="1440" w:gutter="0" w:header="0" w:top="1134"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Cambria Math">
    <w:charset w:val="00" w:characterSet="windows-1252"/>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0"/>
        </w:tabs>
        <w:ind w:start="780" w:hanging="360"/>
      </w:pPr>
      <w:rPr>
        <w:rFonts w:ascii="Symbol" w:hAnsi="Symbol" w:cs="Symbol" w:hint="default"/>
        <w:color w:val="000000"/>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3">
    <w:lvl w:ilvl="0">
      <w:start w:val="1"/>
      <w:numFmt w:val="bullet"/>
      <w:lvlText w:val=""/>
      <w:lvlJc w:val="start"/>
      <w:pPr>
        <w:tabs>
          <w:tab w:val="num" w:pos="0"/>
        </w:tabs>
        <w:ind w:start="792" w:hanging="360"/>
      </w:pPr>
      <w:rPr>
        <w:rFonts w:ascii="Symbol" w:hAnsi="Symbol" w:cs="Symbol" w:hint="default"/>
      </w:rPr>
    </w:lvl>
    <w:lvl w:ilvl="1">
      <w:start w:val="1"/>
      <w:numFmt w:val="bullet"/>
      <w:lvlText w:val="o"/>
      <w:lvlJc w:val="start"/>
      <w:pPr>
        <w:tabs>
          <w:tab w:val="num" w:pos="0"/>
        </w:tabs>
        <w:ind w:start="1512" w:hanging="360"/>
      </w:pPr>
      <w:rPr>
        <w:rFonts w:ascii="Courier New" w:hAnsi="Courier New" w:cs="Courier New" w:hint="default"/>
      </w:rPr>
    </w:lvl>
    <w:lvl w:ilvl="2">
      <w:start w:val="1"/>
      <w:numFmt w:val="bullet"/>
      <w:lvlText w:val=""/>
      <w:lvlJc w:val="start"/>
      <w:pPr>
        <w:tabs>
          <w:tab w:val="num" w:pos="0"/>
        </w:tabs>
        <w:ind w:start="2232" w:hanging="360"/>
      </w:pPr>
      <w:rPr>
        <w:rFonts w:ascii="Wingdings" w:hAnsi="Wingdings" w:cs="Wingdings" w:hint="default"/>
      </w:rPr>
    </w:lvl>
    <w:lvl w:ilvl="3">
      <w:start w:val="1"/>
      <w:numFmt w:val="bullet"/>
      <w:lvlText w:val=""/>
      <w:lvlJc w:val="start"/>
      <w:pPr>
        <w:tabs>
          <w:tab w:val="num" w:pos="0"/>
        </w:tabs>
        <w:ind w:start="2952" w:hanging="360"/>
      </w:pPr>
      <w:rPr>
        <w:rFonts w:ascii="Symbol" w:hAnsi="Symbol" w:cs="Symbol" w:hint="default"/>
      </w:rPr>
    </w:lvl>
    <w:lvl w:ilvl="4">
      <w:start w:val="1"/>
      <w:numFmt w:val="bullet"/>
      <w:lvlText w:val="o"/>
      <w:lvlJc w:val="start"/>
      <w:pPr>
        <w:tabs>
          <w:tab w:val="num" w:pos="0"/>
        </w:tabs>
        <w:ind w:start="3672" w:hanging="360"/>
      </w:pPr>
      <w:rPr>
        <w:rFonts w:ascii="Courier New" w:hAnsi="Courier New" w:cs="Courier New" w:hint="default"/>
      </w:rPr>
    </w:lvl>
    <w:lvl w:ilvl="5">
      <w:start w:val="1"/>
      <w:numFmt w:val="bullet"/>
      <w:lvlText w:val=""/>
      <w:lvlJc w:val="start"/>
      <w:pPr>
        <w:tabs>
          <w:tab w:val="num" w:pos="0"/>
        </w:tabs>
        <w:ind w:start="4392" w:hanging="360"/>
      </w:pPr>
      <w:rPr>
        <w:rFonts w:ascii="Wingdings" w:hAnsi="Wingdings" w:cs="Wingdings" w:hint="default"/>
      </w:rPr>
    </w:lvl>
    <w:lvl w:ilvl="6">
      <w:start w:val="1"/>
      <w:numFmt w:val="bullet"/>
      <w:lvlText w:val=""/>
      <w:lvlJc w:val="start"/>
      <w:pPr>
        <w:tabs>
          <w:tab w:val="num" w:pos="0"/>
        </w:tabs>
        <w:ind w:start="5112" w:hanging="360"/>
      </w:pPr>
      <w:rPr>
        <w:rFonts w:ascii="Symbol" w:hAnsi="Symbol" w:cs="Symbol" w:hint="default"/>
      </w:rPr>
    </w:lvl>
    <w:lvl w:ilvl="7">
      <w:start w:val="1"/>
      <w:numFmt w:val="bullet"/>
      <w:lvlText w:val="o"/>
      <w:lvlJc w:val="start"/>
      <w:pPr>
        <w:tabs>
          <w:tab w:val="num" w:pos="0"/>
        </w:tabs>
        <w:ind w:start="5832" w:hanging="360"/>
      </w:pPr>
      <w:rPr>
        <w:rFonts w:ascii="Courier New" w:hAnsi="Courier New" w:cs="Courier New" w:hint="default"/>
      </w:rPr>
    </w:lvl>
    <w:lvl w:ilvl="8">
      <w:start w:val="1"/>
      <w:numFmt w:val="bullet"/>
      <w:lvlText w:val=""/>
      <w:lvlJc w:val="start"/>
      <w:pPr>
        <w:tabs>
          <w:tab w:val="num" w:pos="0"/>
        </w:tabs>
        <w:ind w:start="6552"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296"/>
  <w:autoHyphenation w:val="true"/>
  <w:hyphenationZone w:val="396"/>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Heading3">
    <w:name w:val="heading 3"/>
    <w:basedOn w:val="Normal"/>
    <w:next w:val="Normal"/>
    <w:link w:val="Heading3Char"/>
    <w:uiPriority w:val="9"/>
    <w:semiHidden/>
    <w:unhideWhenUsed/>
    <w:qFormat/>
    <w:rsid w:val="004758c2"/>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link w:val="Heading4Char"/>
    <w:uiPriority w:val="9"/>
    <w:qFormat/>
    <w:rsid w:val="004758c2"/>
    <w:pPr>
      <w:spacing w:lineRule="auto" w:line="240" w:beforeAutospacing="1" w:afterAutospacing="1"/>
      <w:outlineLvl w:val="3"/>
    </w:pPr>
    <w:rPr>
      <w:rFonts w:ascii="Times New Roman" w:hAnsi="Times New Roman" w:eastAsia="Times New Roman" w:cs="Times New Roman"/>
      <w:b/>
      <w:bCs/>
      <w:kern w:val="0"/>
      <w:sz w:val="24"/>
      <w:szCs w:val="24"/>
      <w:lang w:val="en-US"/>
      <w14:ligatures w14:val="none"/>
    </w:rPr>
  </w:style>
  <w:style w:type="character" w:styleId="DefaultParagraphFont" w:default="1">
    <w:name w:val="Default Paragraph Font"/>
    <w:uiPriority w:val="1"/>
    <w:semiHidden/>
    <w:unhideWhenUsed/>
    <w:qFormat/>
    <w:rPr/>
  </w:style>
  <w:style w:type="character" w:styleId="Heading4Char" w:customStyle="1">
    <w:name w:val="Heading 4 Char"/>
    <w:basedOn w:val="DefaultParagraphFont"/>
    <w:uiPriority w:val="9"/>
    <w:qFormat/>
    <w:rsid w:val="004758c2"/>
    <w:rPr>
      <w:rFonts w:ascii="Times New Roman" w:hAnsi="Times New Roman" w:eastAsia="Times New Roman" w:cs="Times New Roman"/>
      <w:b/>
      <w:bCs/>
      <w:kern w:val="0"/>
      <w:sz w:val="24"/>
      <w:szCs w:val="24"/>
      <w:lang w:val="en-US"/>
      <w14:ligatures w14:val="none"/>
    </w:rPr>
  </w:style>
  <w:style w:type="character" w:styleId="Heading3Char" w:customStyle="1">
    <w:name w:val="Heading 3 Char"/>
    <w:basedOn w:val="DefaultParagraphFont"/>
    <w:uiPriority w:val="9"/>
    <w:semiHidden/>
    <w:qFormat/>
    <w:rsid w:val="004758c2"/>
    <w:rPr>
      <w:rFonts w:ascii="Calibri Light" w:hAnsi="Calibri Light" w:eastAsia="" w:cs="" w:asciiTheme="majorHAnsi" w:cstheme="majorBidi" w:eastAsiaTheme="majorEastAsia" w:hAnsiTheme="majorHAnsi"/>
      <w:color w:themeColor="accent1" w:themeShade="7f" w:val="1F3763"/>
      <w:sz w:val="24"/>
      <w:szCs w:val="24"/>
    </w:rPr>
  </w:style>
  <w:style w:type="character" w:styleId="PlaceholderText">
    <w:name w:val="Placeholder Text"/>
    <w:basedOn w:val="DefaultParagraphFont"/>
    <w:uiPriority w:val="99"/>
    <w:semiHidden/>
    <w:qFormat/>
    <w:rsid w:val="00d52ffc"/>
    <w:rPr>
      <w:color w:val="808080"/>
    </w:rPr>
  </w:style>
  <w:style w:type="character" w:styleId="Hyperlink">
    <w:name w:val="Hyperlink"/>
    <w:basedOn w:val="DefaultParagraphFont"/>
    <w:uiPriority w:val="99"/>
    <w:unhideWhenUsed/>
    <w:rsid w:val="00c85d8c"/>
    <w:rPr>
      <w:color w:themeColor="hyperlink" w:val="0563C1"/>
      <w:u w:val="single"/>
    </w:rPr>
  </w:style>
  <w:style w:type="character" w:styleId="UnresolvedMention">
    <w:name w:val="Unresolved Mention"/>
    <w:basedOn w:val="DefaultParagraphFont"/>
    <w:uiPriority w:val="99"/>
    <w:semiHidden/>
    <w:unhideWhenUsed/>
    <w:qFormat/>
    <w:rsid w:val="00c85d8c"/>
    <w:rPr>
      <w:color w:val="605E5C"/>
      <w:shd w:fill="E1DFDD" w:val="clear"/>
    </w:rPr>
  </w:style>
  <w:style w:type="paragraph" w:styleId="Antrat" w:customStyle="1">
    <w:name w:val="Antraštė"/>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odykl" w:customStyle="1">
    <w:name w:val="Rodyklė"/>
    <w:basedOn w:val="Normal"/>
    <w:qFormat/>
    <w:pPr>
      <w:suppressLineNumbers/>
    </w:pPr>
    <w:rPr>
      <w:rFonts w:cs="Arial"/>
    </w:rPr>
  </w:style>
  <w:style w:type="paragraph" w:styleId="Antratuser" w:customStyle="1">
    <w:name w:val="Antraštė (user)"/>
    <w:basedOn w:val="Normal"/>
    <w:next w:val="BodyText"/>
    <w:qFormat/>
    <w:pPr>
      <w:keepNext w:val="true"/>
      <w:spacing w:before="240" w:after="120"/>
    </w:pPr>
    <w:rPr>
      <w:rFonts w:ascii="Liberation Sans" w:hAnsi="Liberation Sans" w:eastAsia="Microsoft YaHei" w:cs="Lucida Sans"/>
      <w:sz w:val="28"/>
      <w:szCs w:val="28"/>
    </w:rPr>
  </w:style>
  <w:style w:type="paragraph" w:styleId="Rodykluser" w:customStyle="1">
    <w:name w:val="Rodyklė (user)"/>
    <w:basedOn w:val="Normal"/>
    <w:qFormat/>
    <w:pPr>
      <w:suppressLineNumbers/>
    </w:pPr>
    <w:rPr>
      <w:rFonts w:cs="Lucida Sans"/>
    </w:rPr>
  </w:style>
  <w:style w:type="paragraph" w:styleId="ListParagraph">
    <w:name w:val="List Paragraph"/>
    <w:basedOn w:val="Normal"/>
    <w:uiPriority w:val="34"/>
    <w:qFormat/>
    <w:rsid w:val="00d05154"/>
    <w:pPr>
      <w:spacing w:before="0" w:after="160"/>
      <w:ind w:start="720"/>
      <w:contextualSpacing/>
    </w:pPr>
    <w:rPr/>
  </w:style>
  <w:style w:type="paragraph" w:styleId="Lentelsturinysuser">
    <w:name w:val="Lentelės turinys (user)"/>
    <w:basedOn w:val="Normal"/>
    <w:qFormat/>
    <w:pPr>
      <w:widowControl w:val="false"/>
      <w:suppressLineNumbers/>
    </w:pPr>
    <w:rPr/>
  </w:style>
  <w:style w:type="paragraph" w:styleId="Lentelsantratuser">
    <w:name w:val="Lentelės antraštė (user)"/>
    <w:basedOn w:val="Lentelsturinysuser"/>
    <w:qFormat/>
    <w:pPr>
      <w:suppressLineNumbers/>
      <w:jc w:val="center"/>
    </w:pPr>
    <w:rPr>
      <w:b/>
      <w:bCs/>
    </w:rPr>
  </w:style>
  <w:style w:type="paragraph" w:styleId="Lentelsturinys">
    <w:name w:val="Lentelės turinys"/>
    <w:basedOn w:val="Normal"/>
    <w:qFormat/>
    <w:pPr>
      <w:widowControl w:val="false"/>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25ec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mokykla.lt/bendrosios-programos/visos-bendrosios-programo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88</TotalTime>
  <Application>LibreOffice/26.2.4.2$Windows_X86_64 LibreOffice_project/0229ac93fcf0d7cbc6376066c6f35021cef002dc</Application>
  <AppVersion>15.0000</AppVersion>
  <Pages>9</Pages>
  <Words>2946</Words>
  <Characters>21287</Characters>
  <CharactersWithSpaces>23955</CharactersWithSpaces>
  <Paragraphs>316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2026-08-27T07:26:00Z</dcterms:created>
  <dc:creator>VILMA PIPIRIENĖ</dc:creator>
  <dc:description/>
  <dc:language>lt-LT</dc:language>
  <cp:lastModifiedBy/>
  <dcterms:modified xsi:type="dcterms:W3CDTF">2026-08-27T18:10:15Z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